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8" w:rsidRDefault="001F0DE0" w:rsidP="001F0DE0">
      <w:pPr>
        <w:jc w:val="center"/>
        <w:rPr>
          <w:b/>
        </w:rPr>
      </w:pPr>
      <w:r w:rsidRPr="001F0DE0">
        <w:rPr>
          <w:b/>
        </w:rPr>
        <w:t>DAFTAR PUSTAKA</w:t>
      </w:r>
    </w:p>
    <w:p w:rsidR="001F0DE0" w:rsidRDefault="001F0DE0" w:rsidP="001F0DE0">
      <w:pPr>
        <w:jc w:val="center"/>
        <w:rPr>
          <w:b/>
        </w:rPr>
      </w:pPr>
    </w:p>
    <w:p w:rsidR="001F0DE0" w:rsidRDefault="001F0DE0" w:rsidP="001F0DE0">
      <w:pPr>
        <w:pStyle w:val="FootnoteText"/>
      </w:pP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Abuddin Nata, </w:t>
      </w:r>
      <w:r w:rsidRPr="003B2A96">
        <w:rPr>
          <w:i/>
          <w:sz w:val="24"/>
          <w:szCs w:val="24"/>
        </w:rPr>
        <w:t xml:space="preserve">Metodologi Studi Islam, </w:t>
      </w:r>
      <w:r w:rsidRPr="003B2A96">
        <w:rPr>
          <w:sz w:val="24"/>
          <w:szCs w:val="24"/>
        </w:rPr>
        <w:t>(Jakarta : P</w:t>
      </w:r>
      <w:r>
        <w:rPr>
          <w:sz w:val="24"/>
          <w:szCs w:val="24"/>
        </w:rPr>
        <w:t>T. Raja Grafindo Persada, 2003)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Al-Qarni, Aidh, </w:t>
      </w:r>
      <w:r w:rsidRPr="003B2A96">
        <w:rPr>
          <w:i/>
          <w:sz w:val="24"/>
          <w:szCs w:val="24"/>
        </w:rPr>
        <w:t xml:space="preserve">La Tahzan Jangan Bersedih, </w:t>
      </w:r>
      <w:r w:rsidRPr="003B2A96">
        <w:rPr>
          <w:sz w:val="24"/>
          <w:szCs w:val="24"/>
        </w:rPr>
        <w:t>Terjemah : Samson Rahman, (Jakarta : Qisthi P</w:t>
      </w:r>
      <w:r>
        <w:rPr>
          <w:sz w:val="24"/>
          <w:szCs w:val="24"/>
        </w:rPr>
        <w:t>ress, Cet. XVIII, 2005)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>Asror</w:t>
      </w:r>
      <w:r>
        <w:rPr>
          <w:sz w:val="24"/>
          <w:szCs w:val="24"/>
        </w:rPr>
        <w:t xml:space="preserve">, </w:t>
      </w:r>
      <w:r w:rsidRPr="003B2A96">
        <w:rPr>
          <w:sz w:val="24"/>
          <w:szCs w:val="24"/>
        </w:rPr>
        <w:t xml:space="preserve">Mustaghfiri, </w:t>
      </w:r>
      <w:r w:rsidRPr="003B2A96">
        <w:rPr>
          <w:i/>
          <w:sz w:val="24"/>
          <w:szCs w:val="24"/>
        </w:rPr>
        <w:t xml:space="preserve">Bunga Rampai Kultum Ramadhan, </w:t>
      </w:r>
      <w:r w:rsidRPr="003B2A96">
        <w:rPr>
          <w:sz w:val="24"/>
          <w:szCs w:val="24"/>
        </w:rPr>
        <w:t>(Semarang : Aneka Ilmu, 2003)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>Asror</w:t>
      </w:r>
      <w:r>
        <w:rPr>
          <w:sz w:val="24"/>
          <w:szCs w:val="24"/>
        </w:rPr>
        <w:t xml:space="preserve">, </w:t>
      </w:r>
      <w:r w:rsidRPr="003B2A96">
        <w:rPr>
          <w:sz w:val="24"/>
          <w:szCs w:val="24"/>
        </w:rPr>
        <w:t xml:space="preserve">Mustaghfiri, </w:t>
      </w:r>
      <w:r w:rsidRPr="003B2A96">
        <w:rPr>
          <w:i/>
          <w:sz w:val="24"/>
          <w:szCs w:val="24"/>
        </w:rPr>
        <w:t xml:space="preserve">Bunga Rampai Kultum Ramadhan, </w:t>
      </w:r>
      <w:r w:rsidRPr="003B2A96">
        <w:rPr>
          <w:sz w:val="24"/>
          <w:szCs w:val="24"/>
        </w:rPr>
        <w:t>(Semarang</w:t>
      </w:r>
      <w:r>
        <w:rPr>
          <w:sz w:val="24"/>
          <w:szCs w:val="24"/>
        </w:rPr>
        <w:t xml:space="preserve"> : Aneka Ilmu, 2003)</w:t>
      </w:r>
    </w:p>
    <w:p w:rsidR="003B5B8B" w:rsidRDefault="003B5B8B" w:rsidP="003B5B8B">
      <w:pPr>
        <w:autoSpaceDE w:val="0"/>
        <w:autoSpaceDN w:val="0"/>
        <w:adjustRightInd w:val="0"/>
        <w:spacing w:before="240"/>
        <w:ind w:left="450" w:hanging="450"/>
        <w:jc w:val="both"/>
        <w:rPr>
          <w:iCs/>
        </w:rPr>
      </w:pPr>
      <w:r w:rsidRPr="003B2A96">
        <w:t xml:space="preserve">Departemen Agama RI, </w:t>
      </w:r>
      <w:r w:rsidRPr="003B2A96">
        <w:rPr>
          <w:i/>
          <w:iCs/>
        </w:rPr>
        <w:t xml:space="preserve">Kurikulum 2004, </w:t>
      </w:r>
      <w:r w:rsidRPr="003B2A96">
        <w:rPr>
          <w:iCs/>
        </w:rPr>
        <w:t>(Jakarta : Direktorat Jenderal Kelembagaan Agama Islam)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Departemen Agama RI, </w:t>
      </w:r>
      <w:r w:rsidRPr="003B2A96">
        <w:rPr>
          <w:i/>
          <w:iCs/>
          <w:sz w:val="24"/>
          <w:szCs w:val="24"/>
        </w:rPr>
        <w:t xml:space="preserve">Peraturan Menteri Agama Republik Indonesia Nomor 2 Tahun 2008 tentang Standar Kompetensi Lulusan dan Standar Isi Pendidikan Agama Islam dan Bahasa Arab di Madrasah, </w:t>
      </w:r>
      <w:r w:rsidRPr="003B2A96">
        <w:rPr>
          <w:sz w:val="24"/>
          <w:szCs w:val="24"/>
        </w:rPr>
        <w:t>(Jakarta : Depag RI, 2008)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>Departemen Pendidikan Nasional RI</w:t>
      </w:r>
      <w:r w:rsidRPr="003B2A96">
        <w:rPr>
          <w:i/>
          <w:sz w:val="24"/>
          <w:szCs w:val="24"/>
        </w:rPr>
        <w:t xml:space="preserve">, Strategi Pembelajaran dan Pemilihannya, </w:t>
      </w:r>
      <w:r w:rsidRPr="003B2A96">
        <w:rPr>
          <w:sz w:val="24"/>
          <w:szCs w:val="24"/>
        </w:rPr>
        <w:t>(Jakarta: Direktorat Jenderal Peningkatan Mutu Pendidik dan Tenaga Kependidikan Depdiknas,  2008</w:t>
      </w:r>
      <w:r>
        <w:rPr>
          <w:sz w:val="24"/>
          <w:szCs w:val="24"/>
        </w:rPr>
        <w:t>)</w:t>
      </w:r>
    </w:p>
    <w:p w:rsidR="003B5B8B" w:rsidRDefault="003B5B8B" w:rsidP="003B5B8B">
      <w:pPr>
        <w:pStyle w:val="FootnoteText"/>
        <w:spacing w:before="240"/>
        <w:ind w:left="450" w:hanging="450"/>
        <w:rPr>
          <w:sz w:val="24"/>
          <w:szCs w:val="24"/>
        </w:rPr>
      </w:pPr>
      <w:r w:rsidRPr="003B2A96">
        <w:rPr>
          <w:sz w:val="24"/>
          <w:szCs w:val="24"/>
        </w:rPr>
        <w:t xml:space="preserve">Ghazali, Imam, </w:t>
      </w:r>
      <w:r w:rsidRPr="003B2A96">
        <w:rPr>
          <w:i/>
          <w:sz w:val="24"/>
          <w:szCs w:val="24"/>
        </w:rPr>
        <w:t>Ihya Ulumuddin,</w:t>
      </w:r>
      <w:r w:rsidRPr="003B2A96">
        <w:rPr>
          <w:sz w:val="24"/>
          <w:szCs w:val="24"/>
        </w:rPr>
        <w:t xml:space="preserve"> (Darur Riyan, 1987, Jilid. III.)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>Hamalik</w:t>
      </w:r>
      <w:r>
        <w:rPr>
          <w:sz w:val="24"/>
          <w:szCs w:val="24"/>
        </w:rPr>
        <w:t xml:space="preserve">, </w:t>
      </w:r>
      <w:r w:rsidRPr="003B2A96">
        <w:rPr>
          <w:sz w:val="24"/>
          <w:szCs w:val="24"/>
        </w:rPr>
        <w:t xml:space="preserve">Oemar, </w:t>
      </w:r>
      <w:r w:rsidRPr="003B2A96">
        <w:rPr>
          <w:i/>
          <w:sz w:val="24"/>
          <w:szCs w:val="24"/>
        </w:rPr>
        <w:t xml:space="preserve">Kurikulum dan Pembelajaran, </w:t>
      </w:r>
      <w:r w:rsidRPr="003B2A96">
        <w:rPr>
          <w:sz w:val="24"/>
          <w:szCs w:val="24"/>
        </w:rPr>
        <w:t>(Jakarta :</w:t>
      </w:r>
      <w:r>
        <w:rPr>
          <w:sz w:val="24"/>
          <w:szCs w:val="24"/>
        </w:rPr>
        <w:t xml:space="preserve"> PT. Bumi Aksara, 2003)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Hamzah B. Uno, </w:t>
      </w:r>
      <w:r w:rsidRPr="003B2A96">
        <w:rPr>
          <w:i/>
          <w:sz w:val="24"/>
          <w:szCs w:val="24"/>
        </w:rPr>
        <w:t>Model Pembelajaran : Menciptakan Proses Belajar Mengajar yang Kreatif dan Inovatif,</w:t>
      </w:r>
      <w:r w:rsidRPr="003B2A96">
        <w:rPr>
          <w:sz w:val="24"/>
          <w:szCs w:val="24"/>
        </w:rPr>
        <w:t xml:space="preserve"> (Jakarta </w:t>
      </w:r>
      <w:r>
        <w:rPr>
          <w:sz w:val="24"/>
          <w:szCs w:val="24"/>
        </w:rPr>
        <w:t>: PT. Bumi Aksara, 2008)</w:t>
      </w:r>
    </w:p>
    <w:p w:rsidR="003B5B8B" w:rsidRDefault="003B5B8B" w:rsidP="003B5B8B">
      <w:pPr>
        <w:spacing w:before="240"/>
        <w:ind w:left="450" w:hanging="450"/>
        <w:jc w:val="both"/>
        <w:outlineLvl w:val="1"/>
        <w:rPr>
          <w:bCs/>
        </w:rPr>
      </w:pPr>
      <w:hyperlink r:id="rId7" w:history="1">
        <w:r w:rsidRPr="008223A1">
          <w:rPr>
            <w:rStyle w:val="Hyperlink"/>
            <w:bCs/>
            <w:color w:val="auto"/>
          </w:rPr>
          <w:t>http://kajad-alhikmahkajen.blogspot.com/2010/07/</w:t>
        </w:r>
      </w:hyperlink>
      <w:r w:rsidRPr="008223A1">
        <w:rPr>
          <w:bCs/>
        </w:rPr>
        <w:t xml:space="preserve">, </w:t>
      </w:r>
      <w:r w:rsidRPr="003B2A96">
        <w:rPr>
          <w:bCs/>
          <w:i/>
        </w:rPr>
        <w:t xml:space="preserve">Telaah Kurikulum Akidah Akhlak Madrasah Ibtida’iah, </w:t>
      </w:r>
      <w:r w:rsidRPr="003B2A96">
        <w:rPr>
          <w:bCs/>
        </w:rPr>
        <w:t>diakses pada Senin, 07 Juni 2011.</w:t>
      </w:r>
    </w:p>
    <w:p w:rsidR="003B5B8B" w:rsidRDefault="003B5B8B" w:rsidP="003B5B8B">
      <w:pPr>
        <w:spacing w:before="240"/>
        <w:ind w:left="450" w:hanging="450"/>
        <w:outlineLvl w:val="0"/>
        <w:rPr>
          <w:bCs/>
          <w:kern w:val="36"/>
        </w:rPr>
      </w:pPr>
      <w:r w:rsidRPr="003B2A96">
        <w:rPr>
          <w:bCs/>
          <w:kern w:val="36"/>
        </w:rPr>
        <w:t xml:space="preserve">http://zaifbio.wordpress.com, </w:t>
      </w:r>
      <w:r w:rsidRPr="003B2A96">
        <w:rPr>
          <w:bCs/>
          <w:i/>
          <w:kern w:val="36"/>
        </w:rPr>
        <w:t xml:space="preserve">Konsep Dasar Strategi Pembelajaran, </w:t>
      </w:r>
      <w:r w:rsidRPr="003B2A96">
        <w:rPr>
          <w:bCs/>
          <w:kern w:val="36"/>
        </w:rPr>
        <w:t xml:space="preserve">diakses pada Senin, </w:t>
      </w:r>
      <w:r w:rsidR="00766C4F">
        <w:rPr>
          <w:bCs/>
          <w:kern w:val="36"/>
        </w:rPr>
        <w:t>7</w:t>
      </w:r>
      <w:r w:rsidRPr="003B2A96">
        <w:rPr>
          <w:bCs/>
          <w:kern w:val="36"/>
        </w:rPr>
        <w:t xml:space="preserve"> Juni 2011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JJ. Hasibuan dan Moedjiono, </w:t>
      </w:r>
      <w:r w:rsidRPr="003B2A96">
        <w:rPr>
          <w:i/>
          <w:sz w:val="24"/>
          <w:szCs w:val="24"/>
        </w:rPr>
        <w:t xml:space="preserve">Proses Belajar Mengajar, </w:t>
      </w:r>
      <w:r w:rsidRPr="003B2A96">
        <w:rPr>
          <w:sz w:val="24"/>
          <w:szCs w:val="24"/>
        </w:rPr>
        <w:t>(Bandung</w:t>
      </w:r>
      <w:r>
        <w:rPr>
          <w:sz w:val="24"/>
          <w:szCs w:val="24"/>
        </w:rPr>
        <w:t xml:space="preserve"> : PT. Remaja Rosdakarya, 1992)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Kaelany, HD, </w:t>
      </w:r>
      <w:r w:rsidRPr="003B2A96">
        <w:rPr>
          <w:i/>
          <w:sz w:val="24"/>
          <w:szCs w:val="24"/>
        </w:rPr>
        <w:t xml:space="preserve">Islam dan Aspek-aspek Kemasyarakatan, </w:t>
      </w:r>
      <w:r w:rsidRPr="003B2A96">
        <w:rPr>
          <w:sz w:val="24"/>
          <w:szCs w:val="24"/>
        </w:rPr>
        <w:t>(Jakar</w:t>
      </w:r>
      <w:r>
        <w:rPr>
          <w:sz w:val="24"/>
          <w:szCs w:val="24"/>
        </w:rPr>
        <w:t>ta : Bumi Aksara, 2000)</w:t>
      </w:r>
    </w:p>
    <w:p w:rsidR="003B5B8B" w:rsidRDefault="003B5B8B" w:rsidP="003B5B8B">
      <w:pPr>
        <w:pStyle w:val="FootnoteText"/>
        <w:spacing w:before="240"/>
        <w:ind w:left="450" w:hanging="450"/>
        <w:rPr>
          <w:sz w:val="24"/>
          <w:szCs w:val="24"/>
        </w:rPr>
      </w:pPr>
      <w:r w:rsidRPr="003B2A96">
        <w:rPr>
          <w:sz w:val="24"/>
          <w:szCs w:val="24"/>
        </w:rPr>
        <w:t>Masy’ari</w:t>
      </w:r>
      <w:r>
        <w:rPr>
          <w:sz w:val="24"/>
          <w:szCs w:val="24"/>
        </w:rPr>
        <w:t xml:space="preserve">, </w:t>
      </w:r>
      <w:r w:rsidRPr="003B2A96">
        <w:rPr>
          <w:sz w:val="24"/>
          <w:szCs w:val="24"/>
        </w:rPr>
        <w:t xml:space="preserve">Anwar, </w:t>
      </w:r>
      <w:r w:rsidRPr="003B2A96">
        <w:rPr>
          <w:i/>
          <w:sz w:val="24"/>
          <w:szCs w:val="24"/>
        </w:rPr>
        <w:t xml:space="preserve">Membentuk Pribadi Muslim, </w:t>
      </w:r>
      <w:r w:rsidRPr="003B2A96">
        <w:rPr>
          <w:sz w:val="24"/>
          <w:szCs w:val="24"/>
        </w:rPr>
        <w:t>(B</w:t>
      </w:r>
      <w:r>
        <w:rPr>
          <w:sz w:val="24"/>
          <w:szCs w:val="24"/>
        </w:rPr>
        <w:t>andung : PT. AL-Ma’arif,  1986)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w w:val="90"/>
          <w:sz w:val="24"/>
          <w:szCs w:val="24"/>
        </w:rPr>
      </w:pPr>
      <w:r w:rsidRPr="003B2A96">
        <w:rPr>
          <w:sz w:val="24"/>
          <w:szCs w:val="24"/>
        </w:rPr>
        <w:lastRenderedPageBreak/>
        <w:t>Moleong</w:t>
      </w:r>
      <w:r>
        <w:rPr>
          <w:sz w:val="24"/>
          <w:szCs w:val="24"/>
        </w:rPr>
        <w:t xml:space="preserve">, </w:t>
      </w:r>
      <w:r w:rsidRPr="003B2A96">
        <w:rPr>
          <w:sz w:val="24"/>
          <w:szCs w:val="24"/>
        </w:rPr>
        <w:t xml:space="preserve">Lexy J., </w:t>
      </w:r>
      <w:r w:rsidRPr="003B2A96">
        <w:rPr>
          <w:i/>
          <w:iCs/>
          <w:sz w:val="24"/>
          <w:szCs w:val="24"/>
        </w:rPr>
        <w:t>Metodologi Penelitian Kualitatif,</w:t>
      </w:r>
      <w:r w:rsidRPr="003B2A96">
        <w:rPr>
          <w:sz w:val="24"/>
          <w:szCs w:val="24"/>
        </w:rPr>
        <w:t xml:space="preserve"> (</w:t>
      </w:r>
      <w:r w:rsidRPr="003B2A96">
        <w:rPr>
          <w:w w:val="90"/>
          <w:sz w:val="24"/>
          <w:szCs w:val="24"/>
        </w:rPr>
        <w:t>Bandung: PT Remaja Rosdakarya, 2008)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Musthafa, Asy-Syaikh Fuhaim, </w:t>
      </w:r>
      <w:r w:rsidRPr="003B2A96">
        <w:rPr>
          <w:i/>
          <w:sz w:val="24"/>
          <w:szCs w:val="24"/>
        </w:rPr>
        <w:t xml:space="preserve">Manhaj Pendidikan Anak Muslim, </w:t>
      </w:r>
      <w:r w:rsidRPr="003B2A96">
        <w:rPr>
          <w:sz w:val="24"/>
          <w:szCs w:val="24"/>
        </w:rPr>
        <w:t>Terjemah : Abdillah Obid dan Yessi HM. Basyarudin, (Jakarta : Pene</w:t>
      </w:r>
      <w:r>
        <w:rPr>
          <w:sz w:val="24"/>
          <w:szCs w:val="24"/>
        </w:rPr>
        <w:t>rbit Mustaqim, 2004)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w w:val="90"/>
          <w:sz w:val="24"/>
          <w:szCs w:val="24"/>
        </w:rPr>
      </w:pPr>
      <w:r w:rsidRPr="003B2A96">
        <w:rPr>
          <w:sz w:val="24"/>
          <w:szCs w:val="24"/>
        </w:rPr>
        <w:t xml:space="preserve">Nana </w:t>
      </w:r>
      <w:r w:rsidRPr="00620E0E">
        <w:rPr>
          <w:iCs/>
          <w:sz w:val="24"/>
          <w:szCs w:val="24"/>
        </w:rPr>
        <w:t>Sudjana</w:t>
      </w:r>
      <w:r w:rsidRPr="00620E0E">
        <w:rPr>
          <w:sz w:val="24"/>
          <w:szCs w:val="24"/>
        </w:rPr>
        <w:t>,</w:t>
      </w:r>
      <w:r w:rsidRPr="003B2A96">
        <w:rPr>
          <w:sz w:val="24"/>
          <w:szCs w:val="24"/>
        </w:rPr>
        <w:t xml:space="preserve"> </w:t>
      </w:r>
      <w:r w:rsidRPr="003B2A96">
        <w:rPr>
          <w:i/>
          <w:iCs/>
          <w:sz w:val="24"/>
          <w:szCs w:val="24"/>
        </w:rPr>
        <w:t>Penelitian dan Penilaian Pendidikan</w:t>
      </w:r>
      <w:r w:rsidRPr="003B2A96">
        <w:rPr>
          <w:sz w:val="24"/>
          <w:szCs w:val="24"/>
        </w:rPr>
        <w:t xml:space="preserve">, </w:t>
      </w:r>
      <w:r w:rsidRPr="003B2A96">
        <w:rPr>
          <w:w w:val="90"/>
          <w:sz w:val="24"/>
          <w:szCs w:val="24"/>
        </w:rPr>
        <w:t xml:space="preserve">(Bandung: </w:t>
      </w:r>
      <w:r>
        <w:rPr>
          <w:w w:val="90"/>
          <w:sz w:val="24"/>
          <w:szCs w:val="24"/>
        </w:rPr>
        <w:t>PT. Sinar Baru Lgesindo, 2004)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Ngainun Naim, </w:t>
      </w:r>
      <w:r w:rsidRPr="003B2A96">
        <w:rPr>
          <w:i/>
          <w:sz w:val="24"/>
          <w:szCs w:val="24"/>
        </w:rPr>
        <w:t xml:space="preserve">Menjadi Guru Inspiratif : Memberdayakan dan Mengubah Jalan Hidup Siswa, </w:t>
      </w:r>
      <w:r w:rsidRPr="003B2A96">
        <w:rPr>
          <w:sz w:val="24"/>
          <w:szCs w:val="24"/>
        </w:rPr>
        <w:t xml:space="preserve">(Yogyakarta : </w:t>
      </w:r>
      <w:r>
        <w:rPr>
          <w:sz w:val="24"/>
          <w:szCs w:val="24"/>
        </w:rPr>
        <w:t>Pustaka Pelajar, 2009)</w:t>
      </w:r>
    </w:p>
    <w:p w:rsidR="003B5B8B" w:rsidRPr="003B2A96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>Percival</w:t>
      </w:r>
      <w:r>
        <w:rPr>
          <w:sz w:val="24"/>
          <w:szCs w:val="24"/>
        </w:rPr>
        <w:t xml:space="preserve">, </w:t>
      </w:r>
      <w:r w:rsidRPr="003B2A96">
        <w:rPr>
          <w:sz w:val="24"/>
          <w:szCs w:val="24"/>
        </w:rPr>
        <w:t>Fred &amp;</w:t>
      </w:r>
      <w:r>
        <w:rPr>
          <w:sz w:val="24"/>
          <w:szCs w:val="24"/>
        </w:rPr>
        <w:t xml:space="preserve"> EllingtoN,</w:t>
      </w:r>
      <w:r w:rsidRPr="003B2A96">
        <w:rPr>
          <w:sz w:val="24"/>
          <w:szCs w:val="24"/>
        </w:rPr>
        <w:t xml:space="preserve"> Henry, </w:t>
      </w:r>
      <w:r w:rsidRPr="003B2A96">
        <w:rPr>
          <w:i/>
          <w:sz w:val="24"/>
          <w:szCs w:val="24"/>
        </w:rPr>
        <w:t xml:space="preserve">Teknologi Pendidikan, </w:t>
      </w:r>
      <w:r w:rsidRPr="003B2A96">
        <w:rPr>
          <w:sz w:val="24"/>
          <w:szCs w:val="24"/>
        </w:rPr>
        <w:t>Alih Bahasa : Sudjarwo S., (Jakarta : Erlangga, 1988</w:t>
      </w:r>
      <w:r>
        <w:rPr>
          <w:sz w:val="24"/>
          <w:szCs w:val="24"/>
        </w:rPr>
        <w:t>)</w:t>
      </w:r>
      <w:r w:rsidRPr="003B2A96">
        <w:rPr>
          <w:sz w:val="24"/>
          <w:szCs w:val="24"/>
        </w:rPr>
        <w:t xml:space="preserve"> 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Suharsimi Arikunto, </w:t>
      </w:r>
      <w:r w:rsidRPr="003B2A96">
        <w:rPr>
          <w:i/>
          <w:sz w:val="24"/>
          <w:szCs w:val="24"/>
        </w:rPr>
        <w:t xml:space="preserve">Dasar-dasar Evaluasi Pendidikan, </w:t>
      </w:r>
      <w:r w:rsidRPr="003B2A96">
        <w:rPr>
          <w:sz w:val="24"/>
          <w:szCs w:val="24"/>
        </w:rPr>
        <w:t xml:space="preserve">(Jakarta : </w:t>
      </w:r>
      <w:r>
        <w:rPr>
          <w:sz w:val="24"/>
          <w:szCs w:val="24"/>
        </w:rPr>
        <w:t>PT. Bumi Aksara, 2008)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>
        <w:rPr>
          <w:sz w:val="24"/>
          <w:szCs w:val="24"/>
        </w:rPr>
        <w:t>Suharsini</w:t>
      </w:r>
      <w:r w:rsidRPr="003B2A96">
        <w:rPr>
          <w:sz w:val="24"/>
          <w:szCs w:val="24"/>
        </w:rPr>
        <w:t xml:space="preserve"> Arikunto. </w:t>
      </w:r>
      <w:r w:rsidRPr="003B2A96">
        <w:rPr>
          <w:i/>
          <w:iCs/>
          <w:sz w:val="24"/>
          <w:szCs w:val="24"/>
        </w:rPr>
        <w:t>Prosedur penelitian suatu Pendekatan Praktek</w:t>
      </w:r>
      <w:r w:rsidRPr="003B2A96">
        <w:rPr>
          <w:sz w:val="24"/>
          <w:szCs w:val="24"/>
        </w:rPr>
        <w:t>. (Jakarta: PT</w:t>
      </w:r>
      <w:r>
        <w:rPr>
          <w:sz w:val="24"/>
          <w:szCs w:val="24"/>
        </w:rPr>
        <w:t>. Rineka Cipta. 2002)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bCs/>
          <w:sz w:val="24"/>
          <w:szCs w:val="24"/>
          <w:lang w:val="sv-SE"/>
        </w:rPr>
      </w:pPr>
      <w:r w:rsidRPr="003B2A96">
        <w:rPr>
          <w:bCs/>
          <w:sz w:val="24"/>
          <w:szCs w:val="24"/>
          <w:lang w:val="sv-SE"/>
        </w:rPr>
        <w:t xml:space="preserve">Tim Pengembangan Kurikulum Program Pendidikan Dasar Kemitraan Australia-Indonesia Departemen Agama Republik Indonesia, </w:t>
      </w:r>
      <w:r w:rsidRPr="003B2A96">
        <w:rPr>
          <w:bCs/>
          <w:i/>
          <w:sz w:val="24"/>
          <w:szCs w:val="24"/>
          <w:lang w:val="sv-SE"/>
        </w:rPr>
        <w:t xml:space="preserve">Panduan Teknis Pengembangan Kurikulum Madrasah Ibtidaiyah (Dokumen Utama), </w:t>
      </w:r>
      <w:r w:rsidRPr="003B2A96">
        <w:rPr>
          <w:bCs/>
          <w:sz w:val="24"/>
          <w:szCs w:val="24"/>
          <w:lang w:val="sv-SE"/>
        </w:rPr>
        <w:t>(Ja</w:t>
      </w:r>
      <w:r>
        <w:rPr>
          <w:bCs/>
          <w:sz w:val="24"/>
          <w:szCs w:val="24"/>
          <w:lang w:val="sv-SE"/>
        </w:rPr>
        <w:t>karta : Depag RI, 2009)</w:t>
      </w:r>
    </w:p>
    <w:p w:rsidR="003B5B8B" w:rsidRDefault="003B5B8B" w:rsidP="003B5B8B">
      <w:pPr>
        <w:autoSpaceDE w:val="0"/>
        <w:autoSpaceDN w:val="0"/>
        <w:adjustRightInd w:val="0"/>
        <w:spacing w:before="240"/>
        <w:ind w:left="450" w:hanging="450"/>
        <w:jc w:val="both"/>
      </w:pPr>
      <w:r w:rsidRPr="003B2A96">
        <w:t xml:space="preserve">Tim Penyusun Kamus Pusat Pembinaan dan Pengembangan Bahasa Departemen Pendidikan dan Kebudayaan,  </w:t>
      </w:r>
      <w:r w:rsidRPr="003B2A96">
        <w:rPr>
          <w:i/>
        </w:rPr>
        <w:t xml:space="preserve">Kamus Besar Bahasa Indonesia, </w:t>
      </w:r>
      <w:r w:rsidRPr="003B2A96">
        <w:t>(Jakarta : Balai Pustaka</w:t>
      </w:r>
      <w:r>
        <w:t>, 1988)</w:t>
      </w:r>
    </w:p>
    <w:p w:rsidR="003B5B8B" w:rsidRDefault="003B5B8B" w:rsidP="003B5B8B">
      <w:pPr>
        <w:pStyle w:val="FootnoteText"/>
        <w:spacing w:before="240"/>
        <w:ind w:left="450" w:hanging="450"/>
        <w:rPr>
          <w:sz w:val="24"/>
          <w:szCs w:val="24"/>
        </w:rPr>
      </w:pPr>
      <w:r w:rsidRPr="003B2A96">
        <w:rPr>
          <w:sz w:val="24"/>
          <w:szCs w:val="24"/>
        </w:rPr>
        <w:t xml:space="preserve">W. Gulo, </w:t>
      </w:r>
      <w:r w:rsidRPr="003B2A96">
        <w:rPr>
          <w:i/>
          <w:sz w:val="24"/>
          <w:szCs w:val="24"/>
        </w:rPr>
        <w:t xml:space="preserve">Strategi Belajar Mengajar, </w:t>
      </w:r>
      <w:r w:rsidRPr="003B2A96">
        <w:rPr>
          <w:sz w:val="24"/>
          <w:szCs w:val="24"/>
        </w:rPr>
        <w:t>(Jakart</w:t>
      </w:r>
      <w:r>
        <w:rPr>
          <w:sz w:val="24"/>
          <w:szCs w:val="24"/>
        </w:rPr>
        <w:t xml:space="preserve">a : PT. Grasindo, 2005) </w:t>
      </w:r>
    </w:p>
    <w:p w:rsidR="003B5B8B" w:rsidRDefault="003B5B8B" w:rsidP="003B5B8B">
      <w:pPr>
        <w:pStyle w:val="FootnoteText"/>
        <w:spacing w:before="240"/>
        <w:ind w:left="450" w:hanging="450"/>
        <w:rPr>
          <w:sz w:val="24"/>
          <w:szCs w:val="24"/>
        </w:rPr>
      </w:pPr>
      <w:r w:rsidRPr="003B2A96">
        <w:rPr>
          <w:sz w:val="24"/>
          <w:szCs w:val="24"/>
        </w:rPr>
        <w:t xml:space="preserve">Yunus, Abdul Hamdi, </w:t>
      </w:r>
      <w:r w:rsidRPr="003B2A96">
        <w:rPr>
          <w:i/>
          <w:iCs/>
          <w:sz w:val="24"/>
          <w:szCs w:val="24"/>
        </w:rPr>
        <w:t>As-Sya</w:t>
      </w:r>
      <w:r w:rsidRPr="003B2A96">
        <w:rPr>
          <w:rFonts w:ascii="TimesNewRomanItalic" w:hAnsi="TimesNewRomanItalic" w:cs="TimesNewRomanItalic"/>
          <w:i/>
          <w:iCs/>
          <w:sz w:val="24"/>
          <w:szCs w:val="24"/>
        </w:rPr>
        <w:t>.</w:t>
      </w:r>
      <w:r w:rsidRPr="003B2A96">
        <w:rPr>
          <w:i/>
          <w:iCs/>
          <w:sz w:val="24"/>
          <w:szCs w:val="24"/>
        </w:rPr>
        <w:t xml:space="preserve">ab, </w:t>
      </w:r>
      <w:r w:rsidRPr="003B2A96">
        <w:rPr>
          <w:iCs/>
          <w:sz w:val="24"/>
          <w:szCs w:val="24"/>
        </w:rPr>
        <w:t>(</w:t>
      </w:r>
      <w:r w:rsidRPr="003B2A96">
        <w:rPr>
          <w:sz w:val="24"/>
          <w:szCs w:val="24"/>
        </w:rPr>
        <w:t>Kairo: Daarul Ma</w:t>
      </w:r>
      <w:r w:rsidRPr="003B2A96">
        <w:rPr>
          <w:rFonts w:ascii="TimesNewRoman" w:hAnsi="TimesNewRoman" w:cs="TimesNewRoman"/>
          <w:sz w:val="24"/>
          <w:szCs w:val="24"/>
        </w:rPr>
        <w:t>.</w:t>
      </w:r>
      <w:r w:rsidRPr="003B2A96">
        <w:rPr>
          <w:sz w:val="24"/>
          <w:szCs w:val="24"/>
        </w:rPr>
        <w:t>arif, tt)</w:t>
      </w:r>
    </w:p>
    <w:p w:rsidR="003B5B8B" w:rsidRDefault="003B5B8B" w:rsidP="003B5B8B">
      <w:pPr>
        <w:pStyle w:val="FootnoteText"/>
        <w:spacing w:before="240"/>
        <w:ind w:left="450" w:hanging="450"/>
        <w:jc w:val="both"/>
        <w:rPr>
          <w:sz w:val="24"/>
          <w:szCs w:val="24"/>
        </w:rPr>
      </w:pPr>
      <w:r w:rsidRPr="003B2A96">
        <w:rPr>
          <w:sz w:val="24"/>
          <w:szCs w:val="24"/>
        </w:rPr>
        <w:t xml:space="preserve">Zaim ElMubarok, </w:t>
      </w:r>
      <w:r w:rsidRPr="003B2A96">
        <w:rPr>
          <w:i/>
          <w:sz w:val="24"/>
          <w:szCs w:val="24"/>
        </w:rPr>
        <w:t>Membumikan Pendidikan Nilai</w:t>
      </w:r>
      <w:r w:rsidRPr="003B2A96">
        <w:rPr>
          <w:sz w:val="24"/>
          <w:szCs w:val="24"/>
        </w:rPr>
        <w:t>, (Bandung : CV. Alfabeta, Cet. II Sept. 2009)</w:t>
      </w:r>
    </w:p>
    <w:p w:rsidR="003B5B8B" w:rsidRPr="003B2A96" w:rsidRDefault="003B5B8B" w:rsidP="003B5B8B">
      <w:pPr>
        <w:pStyle w:val="FootnoteText"/>
        <w:spacing w:before="240"/>
        <w:ind w:left="450" w:hanging="450"/>
        <w:rPr>
          <w:sz w:val="24"/>
          <w:szCs w:val="24"/>
        </w:rPr>
      </w:pPr>
      <w:r w:rsidRPr="003B2A96">
        <w:rPr>
          <w:sz w:val="24"/>
          <w:szCs w:val="24"/>
        </w:rPr>
        <w:t xml:space="preserve">Zuhairini, dkk, </w:t>
      </w:r>
      <w:r w:rsidRPr="003B2A96">
        <w:rPr>
          <w:i/>
          <w:sz w:val="24"/>
          <w:szCs w:val="24"/>
        </w:rPr>
        <w:t xml:space="preserve">Filsafat Pendidikan Islam, </w:t>
      </w:r>
      <w:r w:rsidRPr="003B2A96">
        <w:rPr>
          <w:sz w:val="24"/>
          <w:szCs w:val="24"/>
        </w:rPr>
        <w:t>(Jakar</w:t>
      </w:r>
      <w:r>
        <w:rPr>
          <w:sz w:val="24"/>
          <w:szCs w:val="24"/>
        </w:rPr>
        <w:t>ta : Bumi Aksara, 1991)</w:t>
      </w:r>
    </w:p>
    <w:sectPr w:rsidR="003B5B8B" w:rsidRPr="003B2A96" w:rsidSect="001F0DE0">
      <w:footerReference w:type="even" r:id="rId8"/>
      <w:footerReference w:type="default" r:id="rId9"/>
      <w:pgSz w:w="12240" w:h="15840" w:code="1"/>
      <w:pgMar w:top="1699" w:right="1699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12" w:rsidRDefault="00961012" w:rsidP="004D1FC5">
      <w:pPr>
        <w:spacing w:before="0"/>
      </w:pPr>
      <w:r>
        <w:separator/>
      </w:r>
    </w:p>
  </w:endnote>
  <w:endnote w:type="continuationSeparator" w:id="1">
    <w:p w:rsidR="00961012" w:rsidRDefault="00961012" w:rsidP="004D1F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61" w:rsidRDefault="004D1FC5" w:rsidP="00B71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23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A61" w:rsidRDefault="00961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61" w:rsidRDefault="004D1FC5" w:rsidP="00B71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23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C4F">
      <w:rPr>
        <w:rStyle w:val="PageNumber"/>
        <w:noProof/>
      </w:rPr>
      <w:t>1</w:t>
    </w:r>
    <w:r>
      <w:rPr>
        <w:rStyle w:val="PageNumber"/>
      </w:rPr>
      <w:fldChar w:fldCharType="end"/>
    </w:r>
  </w:p>
  <w:p w:rsidR="002F7A61" w:rsidRDefault="00961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12" w:rsidRDefault="00961012" w:rsidP="004D1FC5">
      <w:pPr>
        <w:spacing w:before="0"/>
      </w:pPr>
      <w:r>
        <w:separator/>
      </w:r>
    </w:p>
  </w:footnote>
  <w:footnote w:type="continuationSeparator" w:id="1">
    <w:p w:rsidR="00961012" w:rsidRDefault="00961012" w:rsidP="004D1FC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6672"/>
    <w:multiLevelType w:val="hybridMultilevel"/>
    <w:tmpl w:val="6D04AD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82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D24FE"/>
    <w:multiLevelType w:val="hybridMultilevel"/>
    <w:tmpl w:val="A8D2082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15D5780"/>
    <w:multiLevelType w:val="hybridMultilevel"/>
    <w:tmpl w:val="845889E2"/>
    <w:lvl w:ilvl="0" w:tplc="04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5F0DA3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DE0"/>
    <w:rsid w:val="001F0DE0"/>
    <w:rsid w:val="003B2A96"/>
    <w:rsid w:val="003B5B8B"/>
    <w:rsid w:val="004D1FC5"/>
    <w:rsid w:val="00620E0E"/>
    <w:rsid w:val="006C6DA5"/>
    <w:rsid w:val="00766C4F"/>
    <w:rsid w:val="008223A1"/>
    <w:rsid w:val="00961012"/>
    <w:rsid w:val="0097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0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0D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0DE0"/>
  </w:style>
  <w:style w:type="paragraph" w:styleId="BodyText">
    <w:name w:val="Body Text"/>
    <w:basedOn w:val="Normal"/>
    <w:link w:val="BodyTextChar"/>
    <w:uiPriority w:val="99"/>
    <w:rsid w:val="001F0DE0"/>
    <w:pPr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F0DE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F0DE0"/>
    <w:pPr>
      <w:ind w:left="720"/>
    </w:pPr>
  </w:style>
  <w:style w:type="paragraph" w:styleId="FootnoteText">
    <w:name w:val="footnote text"/>
    <w:basedOn w:val="Normal"/>
    <w:link w:val="FootnoteTextChar"/>
    <w:semiHidden/>
    <w:rsid w:val="001F0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D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0DE0"/>
    <w:rPr>
      <w:vertAlign w:val="superscript"/>
    </w:rPr>
  </w:style>
  <w:style w:type="character" w:styleId="Hyperlink">
    <w:name w:val="Hyperlink"/>
    <w:basedOn w:val="DefaultParagraphFont"/>
    <w:rsid w:val="001F0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jad-alhikmahkajen.blogspot.com/2010/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2011-08-03T05:53:00Z</cp:lastPrinted>
  <dcterms:created xsi:type="dcterms:W3CDTF">2011-08-02T12:23:00Z</dcterms:created>
  <dcterms:modified xsi:type="dcterms:W3CDTF">2011-08-03T05:57:00Z</dcterms:modified>
</cp:coreProperties>
</file>