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omments.xml" ContentType="application/vnd.openxmlformats-officedocument.wordprocessingml.comments+xml"/>
  <Override PartName="/word/charts/chart2.xml" ContentType="application/vnd.openxmlformats-officedocument.drawingml.chart+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b/>
          <w:sz w:val="24"/>
          <w:szCs w:val="24"/>
        </w:rPr>
      </w:pPr>
      <w:bookmarkStart w:id="1" w:name="_Hlk81285938"/>
      <w:bookmarkStart w:id="2" w:name="_Hlk81496730"/>
      <w:r>
        <w:rPr>
          <w:b/>
          <w:sz w:val="24"/>
          <w:szCs w:val="24"/>
        </w:rPr>
        <w:t>I</w:t>
      </w:r>
      <w:r>
        <w:rPr>
          <w:b/>
          <w:sz w:val="24"/>
          <w:szCs w:val="24"/>
        </w:rPr>
        <w:t xml:space="preserve">SLAMIC MANAGEMENT </w:t>
      </w:r>
      <w:r>
        <w:rPr>
          <w:b/>
          <w:sz w:val="24"/>
          <w:szCs w:val="24"/>
        </w:rPr>
        <w:t>EDUCATION  AS</w:t>
      </w:r>
      <w:r>
        <w:rPr>
          <w:b/>
          <w:sz w:val="24"/>
          <w:szCs w:val="24"/>
        </w:rPr>
        <w:t xml:space="preserve"> A PIVOTAL TOOL TO REDUCE INEQUALITY OF ONLINE LEARNING DURING THE COVID-19 PANDEMIC IN INDONESIAN HIGHER EDUCATION</w:t>
      </w:r>
    </w:p>
    <w:p>
      <w:pPr>
        <w:pStyle w:val="style0"/>
        <w:spacing w:lineRule="auto" w:line="360"/>
        <w:jc w:val="center"/>
        <w:rPr>
          <w:color w:val="4f81bd"/>
          <w:sz w:val="24"/>
          <w:szCs w:val="24"/>
        </w:rPr>
      </w:pPr>
    </w:p>
    <w:p>
      <w:pPr>
        <w:pStyle w:val="style0"/>
        <w:spacing w:lineRule="auto" w:line="360"/>
        <w:jc w:val="center"/>
        <w:rPr>
          <w:sz w:val="28"/>
          <w:szCs w:val="28"/>
        </w:rPr>
      </w:pPr>
      <w:r>
        <w:rPr>
          <w:b/>
          <w:sz w:val="28"/>
          <w:szCs w:val="28"/>
        </w:rPr>
        <w:t>Abstra</w:t>
      </w:r>
      <w:r>
        <w:rPr>
          <w:b/>
          <w:sz w:val="28"/>
          <w:szCs w:val="28"/>
        </w:rPr>
        <w:t>ct</w:t>
      </w:r>
      <w:r>
        <w:rPr>
          <w:sz w:val="28"/>
          <w:szCs w:val="28"/>
        </w:rPr>
        <w:t xml:space="preserve"> </w:t>
      </w:r>
    </w:p>
    <w:bookmarkStart w:id="3" w:name="_Hlk92716671"/>
    <w:p>
      <w:pPr>
        <w:pStyle w:val="style0"/>
        <w:spacing w:lineRule="auto" w:line="240"/>
        <w:ind w:left="851" w:right="662"/>
        <w:jc w:val="both"/>
        <w:rPr>
          <w:sz w:val="24"/>
          <w:szCs w:val="24"/>
        </w:rPr>
      </w:pPr>
      <w:r>
        <w:rPr>
          <w:sz w:val="24"/>
          <w:szCs w:val="24"/>
        </w:rPr>
        <w:t xml:space="preserve">Online-based education due to the COVID-19 pandemic has created class inequality between students from the lower middle class/poor economic group and students from the upper class/elite </w:t>
      </w:r>
      <w:r>
        <w:rPr>
          <w:sz w:val="24"/>
          <w:szCs w:val="24"/>
        </w:rPr>
        <w:t>financial</w:t>
      </w:r>
      <w:r>
        <w:rPr>
          <w:sz w:val="24"/>
          <w:szCs w:val="24"/>
        </w:rPr>
        <w:t xml:space="preserve"> group. This article aims to fill in existing research gaps regarding class inequality during the pandemic, </w:t>
      </w:r>
      <w:r>
        <w:rPr>
          <w:sz w:val="24"/>
          <w:szCs w:val="24"/>
        </w:rPr>
        <w:t>creating</w:t>
      </w:r>
      <w:r>
        <w:rPr>
          <w:sz w:val="24"/>
          <w:szCs w:val="24"/>
        </w:rPr>
        <w:t xml:space="preserve"> gaps in student experience and learning outcomes. The approach used is </w:t>
      </w:r>
      <w:r>
        <w:rPr>
          <w:sz w:val="24"/>
          <w:szCs w:val="24"/>
        </w:rPr>
        <w:t>qualitatively</w:t>
      </w:r>
      <w:r>
        <w:rPr>
          <w:sz w:val="24"/>
          <w:szCs w:val="24"/>
        </w:rPr>
        <w:t xml:space="preserve"> collected using observation, interview, and documentation techniques. The results are </w:t>
      </w:r>
      <w:r>
        <w:rPr>
          <w:sz w:val="24"/>
          <w:szCs w:val="24"/>
        </w:rPr>
        <w:t>analyzed</w:t>
      </w:r>
      <w:r>
        <w:rPr>
          <w:sz w:val="24"/>
          <w:szCs w:val="24"/>
        </w:rPr>
        <w:t xml:space="preserve">, interpreted, and verified on the </w:t>
      </w:r>
      <w:r>
        <w:rPr>
          <w:sz w:val="24"/>
          <w:szCs w:val="24"/>
        </w:rPr>
        <w:t>MaxQDA</w:t>
      </w:r>
      <w:r>
        <w:rPr>
          <w:sz w:val="24"/>
          <w:szCs w:val="24"/>
        </w:rPr>
        <w:t xml:space="preserve"> application. Th</w:t>
      </w:r>
      <w:r>
        <w:rPr>
          <w:sz w:val="24"/>
          <w:szCs w:val="24"/>
        </w:rPr>
        <w:t>is study's findings are that in its implementation, online educ</w:t>
      </w:r>
      <w:r>
        <w:rPr>
          <w:sz w:val="24"/>
          <w:szCs w:val="24"/>
        </w:rPr>
        <w:t xml:space="preserve">ation creates inequality related to learning support tools: </w:t>
      </w:r>
      <w:r>
        <w:rPr>
          <w:sz w:val="24"/>
          <w:szCs w:val="24"/>
        </w:rPr>
        <w:t>cellphones</w:t>
      </w:r>
      <w:r>
        <w:rPr>
          <w:sz w:val="24"/>
          <w:szCs w:val="24"/>
        </w:rPr>
        <w:t xml:space="preserve"> and laptops, quotas, and internet networks. Then, family background factors are also the cause of inequality, especially </w:t>
      </w:r>
      <w:r>
        <w:rPr>
          <w:sz w:val="24"/>
          <w:szCs w:val="24"/>
        </w:rPr>
        <w:t>concerning</w:t>
      </w:r>
      <w:r>
        <w:rPr>
          <w:sz w:val="24"/>
          <w:szCs w:val="24"/>
        </w:rPr>
        <w:t xml:space="preserve"> work or income, parents' educational background, and the area where they live. As a result, the disparity in online education </w:t>
      </w:r>
      <w:r>
        <w:rPr>
          <w:sz w:val="24"/>
          <w:szCs w:val="24"/>
        </w:rPr>
        <w:t>impacts</w:t>
      </w:r>
      <w:r>
        <w:rPr>
          <w:sz w:val="24"/>
          <w:szCs w:val="24"/>
        </w:rPr>
        <w:t xml:space="preserve"> student learning outcomes that decline and soar </w:t>
      </w:r>
      <w:r>
        <w:rPr>
          <w:sz w:val="24"/>
          <w:szCs w:val="24"/>
        </w:rPr>
        <w:t>parental spending</w:t>
      </w:r>
      <w:r>
        <w:rPr>
          <w:sz w:val="24"/>
          <w:szCs w:val="24"/>
        </w:rPr>
        <w:t xml:space="preserve"> to meet additional needs to support learning activities. Thus, rapid response from universities is needed to immediately overcome this inequality because the demands for technological education</w:t>
      </w:r>
      <w:r>
        <w:rPr>
          <w:sz w:val="24"/>
          <w:szCs w:val="24"/>
        </w:rPr>
        <w:t>,</w:t>
      </w:r>
      <w:r>
        <w:rPr>
          <w:sz w:val="24"/>
          <w:szCs w:val="24"/>
        </w:rPr>
        <w:t xml:space="preserve"> on the other hand</w:t>
      </w:r>
      <w:r>
        <w:rPr>
          <w:sz w:val="24"/>
          <w:szCs w:val="24"/>
        </w:rPr>
        <w:t>,</w:t>
      </w:r>
      <w:r>
        <w:rPr>
          <w:sz w:val="24"/>
          <w:szCs w:val="24"/>
        </w:rPr>
        <w:t xml:space="preserve"> also create gaps in learning.</w:t>
      </w:r>
    </w:p>
    <w:p>
      <w:pPr>
        <w:pStyle w:val="style0"/>
        <w:spacing w:lineRule="auto" w:line="240"/>
        <w:ind w:left="851" w:right="662"/>
        <w:jc w:val="both"/>
        <w:rPr>
          <w:sz w:val="24"/>
          <w:szCs w:val="24"/>
        </w:rPr>
      </w:pPr>
    </w:p>
    <w:p>
      <w:pPr>
        <w:pStyle w:val="style0"/>
        <w:spacing w:lineRule="auto" w:line="240"/>
        <w:ind w:left="2410" w:right="662" w:hanging="1559"/>
        <w:jc w:val="both"/>
        <w:rPr>
          <w:sz w:val="24"/>
          <w:szCs w:val="24"/>
        </w:rPr>
      </w:pPr>
      <w:r>
        <w:rPr>
          <w:b/>
          <w:bCs/>
          <w:sz w:val="24"/>
          <w:szCs w:val="24"/>
        </w:rPr>
        <w:t>KEYWORDS</w:t>
      </w:r>
      <w:r>
        <w:rPr>
          <w:sz w:val="24"/>
          <w:szCs w:val="24"/>
        </w:rPr>
        <w:t xml:space="preserve">: </w:t>
      </w:r>
      <w:r>
        <w:rPr>
          <w:sz w:val="24"/>
          <w:szCs w:val="24"/>
        </w:rPr>
        <w:t xml:space="preserve">Islamic Management </w:t>
      </w:r>
      <w:r>
        <w:rPr>
          <w:sz w:val="24"/>
          <w:szCs w:val="24"/>
        </w:rPr>
        <w:t>education ,</w:t>
      </w:r>
      <w:r>
        <w:rPr>
          <w:sz w:val="24"/>
          <w:szCs w:val="24"/>
        </w:rPr>
        <w:t xml:space="preserve"> </w:t>
      </w:r>
      <w:r>
        <w:rPr>
          <w:sz w:val="24"/>
          <w:szCs w:val="24"/>
        </w:rPr>
        <w:t>The power of social mobility, Online education, Reproduction of class inequality, COVID-19 Pandemic</w:t>
      </w:r>
    </w:p>
    <w:bookmarkEnd w:id="1"/>
    <w:bookmarkEnd w:id="2"/>
    <w:bookmarkEnd w:id="3"/>
    <w:p>
      <w:pPr>
        <w:pStyle w:val="style0"/>
        <w:tabs>
          <w:tab w:val="left" w:leader="none" w:pos="284"/>
        </w:tabs>
        <w:spacing w:lineRule="auto" w:line="360"/>
        <w:jc w:val="both"/>
        <w:rPr>
          <w:b/>
          <w:bCs/>
          <w:sz w:val="24"/>
          <w:szCs w:val="24"/>
        </w:rPr>
      </w:pPr>
    </w:p>
    <w:p>
      <w:pPr>
        <w:pStyle w:val="style0"/>
        <w:tabs>
          <w:tab w:val="left" w:leader="none" w:pos="284"/>
        </w:tabs>
        <w:spacing w:lineRule="auto" w:line="360"/>
        <w:jc w:val="both"/>
        <w:rPr>
          <w:b/>
          <w:bCs/>
          <w:sz w:val="24"/>
          <w:szCs w:val="24"/>
        </w:rPr>
      </w:pPr>
    </w:p>
    <w:commentRangeStart w:id="1"/>
    <w:p>
      <w:pPr>
        <w:pStyle w:val="style179"/>
        <w:numPr>
          <w:ilvl w:val="0"/>
          <w:numId w:val="1"/>
        </w:numPr>
        <w:tabs>
          <w:tab w:val="left" w:leader="none" w:pos="284"/>
        </w:tabs>
        <w:spacing w:lineRule="auto" w:line="360"/>
        <w:ind w:hanging="720"/>
        <w:jc w:val="both"/>
        <w:rPr>
          <w:rFonts w:cs="Times New Roman"/>
          <w:b/>
          <w:bCs/>
          <w:szCs w:val="24"/>
        </w:rPr>
      </w:pPr>
      <w:r>
        <w:rPr>
          <w:rFonts w:cs="Times New Roman"/>
          <w:b/>
          <w:bCs/>
          <w:szCs w:val="24"/>
        </w:rPr>
        <w:t>INTRODUCTION</w:t>
      </w:r>
      <w:commentRangeEnd w:id="1"/>
      <w:r>
        <w:rPr>
          <w:rStyle w:val="style39"/>
          <w:rFonts w:cs="Times New Roman" w:eastAsia="SimSun"/>
          <w:lang w:val="en-GB"/>
        </w:rPr>
        <w:commentReference w:id="1"/>
      </w:r>
    </w:p>
    <w:p>
      <w:pPr>
        <w:pStyle w:val="style0"/>
        <w:spacing w:lineRule="auto" w:line="360"/>
        <w:jc w:val="both"/>
        <w:rPr>
          <w:sz w:val="24"/>
          <w:szCs w:val="24"/>
        </w:rPr>
      </w:pPr>
      <w:r>
        <w:rPr>
          <w:sz w:val="24"/>
          <w:szCs w:val="24"/>
        </w:rPr>
        <w:tab/>
      </w:r>
      <w:r>
        <w:rPr>
          <w:sz w:val="24"/>
          <w:szCs w:val="24"/>
        </w:rPr>
        <w:t xml:space="preserve">Online education that took place during the COVID-19 pandemic has created class inequality. Student participation in learning is </w:t>
      </w:r>
      <w:r>
        <w:rPr>
          <w:sz w:val="24"/>
          <w:szCs w:val="24"/>
        </w:rPr>
        <w:t>primari</w:t>
      </w:r>
      <w:r>
        <w:rPr>
          <w:sz w:val="24"/>
          <w:szCs w:val="24"/>
        </w:rPr>
        <w:t xml:space="preserve">ly determined by the ability of students to provide adequate learning tools. The inability of students to provide technological tools has affected the assessment of student achievement or competence in learning. Students' abilities are no longer measured by intellectual capacity but by technology-based participation. Technology has become a determinant of the assessment of a student. </w:t>
      </w:r>
      <w:r>
        <w:rPr>
          <w:sz w:val="24"/>
          <w:szCs w:val="24"/>
        </w:rPr>
        <w:t>Instead of being away for status change, education</w:t>
      </w:r>
      <w:r>
        <w:rPr>
          <w:sz w:val="24"/>
          <w:szCs w:val="24"/>
        </w:rPr>
        <w:t xml:space="preserve"> has established social class.</w:t>
      </w:r>
    </w:p>
    <w:p>
      <w:pPr>
        <w:pStyle w:val="style0"/>
        <w:spacing w:lineRule="auto" w:line="360"/>
        <w:jc w:val="both"/>
        <w:rPr>
          <w:sz w:val="24"/>
          <w:szCs w:val="24"/>
        </w:rPr>
      </w:pPr>
      <w:r>
        <w:rPr>
          <w:sz w:val="24"/>
          <w:szCs w:val="24"/>
        </w:rPr>
        <w:tab/>
      </w:r>
      <w:r>
        <w:rPr>
          <w:sz w:val="24"/>
          <w:szCs w:val="24"/>
        </w:rPr>
        <w:t xml:space="preserve">So far, studies on the relationship of the pandemic to online learning have tended </w:t>
      </w:r>
      <w:r>
        <w:rPr>
          <w:sz w:val="24"/>
          <w:szCs w:val="24"/>
        </w:rPr>
        <w:t xml:space="preserve">to </w:t>
      </w:r>
      <w:r>
        <w:rPr>
          <w:sz w:val="24"/>
          <w:szCs w:val="24"/>
        </w:rPr>
        <w:t>analyze</w:t>
      </w:r>
      <w:r>
        <w:rPr>
          <w:sz w:val="24"/>
          <w:szCs w:val="24"/>
        </w:rPr>
        <w:t xml:space="preserve"> linear relationships, ignoring the non-linear relationships that are widespread in learning during COVID-19. This linear trend can be seen in three types of research. First, the study of the relationship between the pandemic and learning </w:t>
      </w:r>
      <w:r>
        <w:rPr>
          <w:sz w:val="24"/>
          <w:szCs w:val="24"/>
        </w:rPr>
        <w:t>identifies patterns of difficulties</w:t>
      </w:r>
      <w:r>
        <w:rPr>
          <w:sz w:val="24"/>
          <w:szCs w:val="24"/>
        </w:rPr>
        <w:t xml:space="preserve"> limitations experienced by students and families in learning</w:t>
      </w:r>
      <w:r>
        <w:rPr>
          <w:sz w:val="24"/>
          <w:szCs w:val="24"/>
        </w:rPr>
        <w:t xml:space="preserve"> (</w:t>
      </w:r>
      <w:r>
        <w:rPr>
          <w:sz w:val="24"/>
          <w:szCs w:val="24"/>
        </w:rPr>
        <w:t>Adedoyin</w:t>
      </w:r>
      <w:r>
        <w:rPr>
          <w:sz w:val="24"/>
          <w:szCs w:val="24"/>
        </w:rPr>
        <w:t xml:space="preserve"> &amp; </w:t>
      </w:r>
      <w:r>
        <w:rPr>
          <w:sz w:val="24"/>
          <w:szCs w:val="24"/>
        </w:rPr>
        <w:t>Soykan</w:t>
      </w:r>
      <w:r>
        <w:rPr>
          <w:sz w:val="24"/>
          <w:szCs w:val="24"/>
        </w:rPr>
        <w:t xml:space="preserve">, 2020; </w:t>
      </w:r>
      <w:r>
        <w:rPr>
          <w:sz w:val="24"/>
          <w:szCs w:val="24"/>
        </w:rPr>
        <w:t>Fatoni</w:t>
      </w:r>
      <w:r>
        <w:rPr>
          <w:sz w:val="24"/>
          <w:szCs w:val="24"/>
        </w:rPr>
        <w:t xml:space="preserve"> et al., 2020; Wan </w:t>
      </w:r>
      <w:r>
        <w:rPr>
          <w:sz w:val="24"/>
          <w:szCs w:val="24"/>
        </w:rPr>
        <w:t>Hasan</w:t>
      </w:r>
      <w:r>
        <w:rPr>
          <w:sz w:val="24"/>
          <w:szCs w:val="24"/>
        </w:rPr>
        <w:t>, 2020; Katz, 2021).</w:t>
      </w:r>
    </w:p>
    <w:p>
      <w:pPr>
        <w:pStyle w:val="style0"/>
        <w:spacing w:lineRule="auto" w:line="360"/>
        <w:ind w:firstLine="567"/>
        <w:jc w:val="both"/>
        <w:rPr>
          <w:sz w:val="24"/>
          <w:szCs w:val="24"/>
        </w:rPr>
      </w:pPr>
      <w:r>
        <w:rPr>
          <w:sz w:val="24"/>
          <w:szCs w:val="24"/>
        </w:rPr>
        <w:t xml:space="preserve">Second </w:t>
      </w:r>
      <w:r>
        <w:rPr>
          <w:sz w:val="24"/>
          <w:szCs w:val="24"/>
        </w:rPr>
        <w:t xml:space="preserve">is </w:t>
      </w:r>
      <w:r>
        <w:rPr>
          <w:sz w:val="24"/>
          <w:szCs w:val="24"/>
        </w:rPr>
        <w:t>a study that evaluates educational performance during a pandemic, including student achievement in learning</w:t>
      </w:r>
      <w:r>
        <w:rPr>
          <w:i/>
          <w:iCs/>
          <w:sz w:val="24"/>
          <w:szCs w:val="24"/>
        </w:rPr>
        <w:t xml:space="preserve"> </w:t>
      </w:r>
      <w:r>
        <w:rPr>
          <w:sz w:val="24"/>
          <w:szCs w:val="24"/>
        </w:rPr>
        <w:t>(</w:t>
      </w:r>
      <w:r>
        <w:rPr>
          <w:sz w:val="24"/>
          <w:szCs w:val="24"/>
        </w:rPr>
        <w:t>Astuti</w:t>
      </w:r>
      <w:r>
        <w:rPr>
          <w:sz w:val="24"/>
          <w:szCs w:val="24"/>
        </w:rPr>
        <w:t xml:space="preserve"> et al., 2021; </w:t>
      </w:r>
      <w:r>
        <w:rPr>
          <w:sz w:val="24"/>
          <w:szCs w:val="24"/>
        </w:rPr>
        <w:t>Fikri</w:t>
      </w:r>
      <w:r>
        <w:rPr>
          <w:sz w:val="24"/>
          <w:szCs w:val="24"/>
        </w:rPr>
        <w:t xml:space="preserve"> et al., 2021; </w:t>
      </w:r>
      <w:r>
        <w:rPr>
          <w:sz w:val="24"/>
          <w:szCs w:val="24"/>
        </w:rPr>
        <w:t>Ketmuni</w:t>
      </w:r>
      <w:r>
        <w:rPr>
          <w:sz w:val="24"/>
          <w:szCs w:val="24"/>
        </w:rPr>
        <w:t xml:space="preserve">, 2021). </w:t>
      </w:r>
      <w:r>
        <w:rPr>
          <w:sz w:val="24"/>
          <w:szCs w:val="24"/>
        </w:rPr>
        <w:t xml:space="preserve">Third, studies emphasize the psychological aspects of changing learning traditions that cause students to face various obstacles </w:t>
      </w:r>
      <w:r>
        <w:rPr>
          <w:sz w:val="24"/>
          <w:szCs w:val="24"/>
        </w:rPr>
        <w:t xml:space="preserve">(Liang et al., 2020; </w:t>
      </w:r>
      <w:r>
        <w:rPr>
          <w:sz w:val="24"/>
          <w:szCs w:val="24"/>
        </w:rPr>
        <w:t>Weisbrot</w:t>
      </w:r>
      <w:r>
        <w:rPr>
          <w:sz w:val="24"/>
          <w:szCs w:val="24"/>
        </w:rPr>
        <w:t xml:space="preserve"> &amp; </w:t>
      </w:r>
      <w:r>
        <w:rPr>
          <w:sz w:val="24"/>
          <w:szCs w:val="24"/>
        </w:rPr>
        <w:t>Ryst</w:t>
      </w:r>
      <w:r>
        <w:rPr>
          <w:sz w:val="24"/>
          <w:szCs w:val="24"/>
        </w:rPr>
        <w:t xml:space="preserve">, 2020; Yang et al., 2020; Lie et al., 2021). </w:t>
      </w:r>
    </w:p>
    <w:p>
      <w:pPr>
        <w:pStyle w:val="style0"/>
        <w:spacing w:lineRule="auto" w:line="360"/>
        <w:ind w:firstLine="567"/>
        <w:jc w:val="both"/>
        <w:rPr>
          <w:sz w:val="24"/>
          <w:szCs w:val="24"/>
        </w:rPr>
      </w:pPr>
      <w:r>
        <w:rPr>
          <w:sz w:val="24"/>
          <w:szCs w:val="24"/>
        </w:rPr>
        <w:t xml:space="preserve">The three trends in the study of "pandemic relationship with learning" above only see education as a process of relations between students and education, thus ignoring the function of education as a force for social transformation. Education has always been believed to be a way to change </w:t>
      </w:r>
      <w:r>
        <w:rPr>
          <w:sz w:val="24"/>
          <w:szCs w:val="24"/>
        </w:rPr>
        <w:t>society's status and social class</w:t>
      </w:r>
      <w:r>
        <w:rPr>
          <w:sz w:val="24"/>
          <w:szCs w:val="24"/>
        </w:rPr>
        <w:t xml:space="preserve"> </w:t>
      </w:r>
      <w:r>
        <w:rPr>
          <w:sz w:val="24"/>
          <w:szCs w:val="24"/>
        </w:rPr>
        <w:fldChar w:fldCharType="begin"/>
      </w:r>
      <w:r>
        <w:rPr>
          <w:sz w:val="24"/>
          <w:szCs w:val="24"/>
        </w:rPr>
        <w:instrText>ADDIN CSL_CITATION {"citationItems":[{"id":"ITEM-1","itemData":{"DOI":"10.4324/9780203986943","ISBN":"0203986946","abstract":"Working class groups have historically been excluded from participation in higher education. Past decades have seen an expansion of the system towards a more inclusive higher education, but participation among people from working class groups has remained persistently low. Is higher education unattractive for these groups or are the institutions acting to exclude them? This thought-provoking and revealing book examines the many factors and reasons why working class groups are under-represented in higher education. In particular, the book addresses issues around differential access to information about university, the value of higher education to working class groups, the costs of participating and the propensity to participate. Issues of gender and ethnicity are also explored and questions are raised for those who are currently involved in ‘widening participation’ projects and initiatives. A unique feature of the book is that its findings are drawn from an innovative study where the views of both working class participants and non-participants in higher education were explored. This book will be of interest to students of social policy, educational studies and sociology of education at undergraduate and postgraduate level. Academics, researchers and policy makers nationally and internationally will also find it valuable.","author":[{"dropping-particle":"","family":"Archer","given":"Louise","non-dropping-particle":"","parse-names":false,"suffix":""},{"dropping-particle":"","family":"Hutchings","given":"Merryn","non-dropping-particle":"","parse-names":false,"suffix":""},{"dropping-particle":"","family":"Ross","given":"Alistair","non-dropping-particle":"","parse-names":false,"suffix":""},{"dropping-particle":"","family":"Leathwood","given":"Carole","non-dropping-particle":"","parse-names":false,"suffix":""},{"dropping-particle":"","family":"Gilchrist","given":"Robert","non-dropping-particle":"","parse-names":false,"suffix":""},{"dropping-particle":"","family":"Phillips","given":"David","non-dropping-particle":"","parse-names":false,"suffix":""}],"container-title":"Higher Education and Social Class: Issues of Exclusion and Inclusion","id":"ITEM-1","issued":{"date-parts":[["2005"]]},"title":"Higher education and social class: Issues of exclusion and inclusion","type":"book"},"uris":["http://www.mendeley.com/documents/?uuid=a92b2d08-7a83-46a4-b372-3f7ee2f41519","http://www.mendeley.com/documents/?uuid=8e1b4f05-a6f7-473c-a434-f6562a0ef393"]},{"id":"ITEM-2","itemData":{"ISBN":"9780203863701","author":[{"dropping-particle":"","family":"Reay","given":"Diane","non-dropping-particle":"","parse-names":false,"suffix":""}],"container-title":"The Routledge International Handbook of the Sociology of Education","id":"ITEM-2","issued":{"date-parts":[["2009"]]},"title":"Sociology, social class and education","type":"chapter"},"uris":["http://www.mendeley.com/documents/?uuid=3184fce7-726e-45ab-ab26-65cc0dbd8e83","http://www.mendeley.com/documents/?uuid=6f436be3-104b-484a-a622-c7192330feaf"]},{"id":"ITEM-3","itemData":{"DOI":"10.1080/01425692.2013.816036","ISSN":"01425692","abstract":"There has been renewed policy interest in intergenerational social mobility as a route to a fairer society, but in ignoring the sociological evidence this article will argue that the current policy agenda will fail to achieve its goal. Based on an analysis of 'social congestion', 'social exclusion', and 'social justice', it also argues that existing sociological research on education and social mobility needs to be extended. In the early decades of the twenty-first century, the experiences of working-class and middle-class students and families are not defined by intergenerational social mobility, but by social congestion and an opportunity trap. © 2013 © 2013 Taylor &amp; Francis.","author":[{"dropping-particle":"","family":"Brown","given":"Phillip","non-dropping-particle":"","parse-names":false,"suffix":""}],"container-title":"British Journal of Sociology of Education","id":"ITEM-3","issued":{"date-parts":[["2013"]]},"title":"Education, opportunity and the prospects for social mobility","type":"article-journal"},"uris":["http://www.mendeley.com/documents/?uuid=422fce70-ba4a-4579-b41f-1fb17e13a7e1","http://www.mendeley.com/documents/?uuid=c8a880aa-6d42-4dcd-9dde-eae07aee889a"]}],"mendeley":{"formattedCitation":"(Archer &lt;i&gt;et al.&lt;/i&gt;, 2005; Reay, 2009; Brown, 2013)","plainTextFormattedCitation":"(Archer et al., 2005; Reay, 2009; Brown, 2013)","previouslyFormattedCitation":"(Archer &lt;i&gt;et al.&lt;/i&gt;, 2005; Reay, 2009; Brown, 2013)"},"properties":{"noteIndex":0},"schema":"https://github.com/citation-style-language/schema/raw/master/csl-citation.json"}</w:instrText>
      </w:r>
      <w:r>
        <w:rPr>
          <w:sz w:val="24"/>
          <w:szCs w:val="24"/>
        </w:rPr>
        <w:fldChar w:fldCharType="separate"/>
      </w:r>
      <w:r>
        <w:rPr>
          <w:noProof/>
          <w:sz w:val="24"/>
          <w:szCs w:val="24"/>
        </w:rPr>
        <w:t xml:space="preserve">(Archer </w:t>
      </w:r>
      <w:r>
        <w:rPr>
          <w:i/>
          <w:noProof/>
          <w:sz w:val="24"/>
          <w:szCs w:val="24"/>
        </w:rPr>
        <w:t>et al.</w:t>
      </w:r>
      <w:r>
        <w:rPr>
          <w:noProof/>
          <w:sz w:val="24"/>
          <w:szCs w:val="24"/>
        </w:rPr>
        <w:t>, 2005; Reay, 2009; Brown, 2013)</w:t>
      </w:r>
      <w:r>
        <w:rPr>
          <w:sz w:val="24"/>
          <w:szCs w:val="24"/>
        </w:rPr>
        <w:fldChar w:fldCharType="end"/>
      </w:r>
      <w:r>
        <w:rPr>
          <w:sz w:val="24"/>
          <w:szCs w:val="24"/>
        </w:rPr>
        <w:t>.</w:t>
      </w:r>
    </w:p>
    <w:p>
      <w:pPr>
        <w:pStyle w:val="style0"/>
        <w:spacing w:lineRule="auto" w:line="360"/>
        <w:jc w:val="both"/>
        <w:rPr>
          <w:sz w:val="24"/>
          <w:szCs w:val="24"/>
        </w:rPr>
      </w:pPr>
      <w:r>
        <w:rPr>
          <w:sz w:val="24"/>
          <w:szCs w:val="24"/>
        </w:rPr>
        <w:tab/>
      </w:r>
      <w:commentRangeStart w:id="2"/>
      <w:r>
        <w:rPr>
          <w:sz w:val="24"/>
          <w:szCs w:val="24"/>
        </w:rPr>
        <w:t xml:space="preserve">This article aims to complement the shortcomings (to straighten out the views) of previous studies on the relationship between “pandemic and online learning” by </w:t>
      </w:r>
      <w:r>
        <w:rPr>
          <w:sz w:val="24"/>
          <w:szCs w:val="24"/>
        </w:rPr>
        <w:t>analyzing</w:t>
      </w:r>
      <w:r>
        <w:rPr>
          <w:sz w:val="24"/>
          <w:szCs w:val="24"/>
        </w:rPr>
        <w:t xml:space="preserve"> how learning during the Covid-19 pandemic has reproduced class inequality in society. In line with that, there are three focus questions that are a concern in this article: first, how does the learning process take place and be lived by students during the pandemic (learning process, difficulties experienced, solutions taken)? Second, how do social classes structure the learning process during a pandemic (distinguishing students based on ownership of learning technology/media, technology limits participation)? Third, how the differences in ability in student participation in learning reproduce class inequality that already exists and applies in society.</w:t>
      </w:r>
      <w:commentRangeEnd w:id="2"/>
      <w:r>
        <w:rPr>
          <w:rStyle w:val="style39"/>
        </w:rPr>
        <w:commentReference w:id="2"/>
      </w:r>
    </w:p>
    <w:p>
      <w:pPr>
        <w:pStyle w:val="style0"/>
        <w:spacing w:lineRule="auto" w:line="360"/>
        <w:ind w:firstLine="720"/>
        <w:jc w:val="both"/>
        <w:rPr>
          <w:sz w:val="24"/>
          <w:szCs w:val="24"/>
        </w:rPr>
      </w:pPr>
      <w:r>
        <w:rPr>
          <w:sz w:val="24"/>
          <w:szCs w:val="24"/>
        </w:rPr>
        <w:t xml:space="preserve">Based on an argument that class inequality </w:t>
      </w:r>
      <w:r>
        <w:rPr>
          <w:sz w:val="24"/>
          <w:szCs w:val="24"/>
        </w:rPr>
        <w:t>directly impacts</w:t>
      </w:r>
      <w:r>
        <w:rPr>
          <w:sz w:val="24"/>
          <w:szCs w:val="24"/>
        </w:rPr>
        <w:t xml:space="preserve"> inequality of access and restrictions on student participation in education, the three questions lead to the understanding that education is not only a way to improve social class but can also be a force that establishes social class. </w:t>
      </w:r>
      <w:r>
        <w:rPr>
          <w:sz w:val="24"/>
          <w:szCs w:val="24"/>
        </w:rPr>
        <w:t>W</w:t>
      </w:r>
      <w:r>
        <w:rPr>
          <w:sz w:val="24"/>
          <w:szCs w:val="24"/>
        </w:rPr>
        <w:t>hen inequality in access is allowed, and differences in participation rates are a requirement for student achievement, students from the poor group will get lower learning evaluation results than students from the more fortunate groups.</w:t>
      </w:r>
    </w:p>
    <w:p>
      <w:pPr>
        <w:pStyle w:val="style0"/>
        <w:spacing w:lineRule="auto" w:line="360"/>
        <w:jc w:val="both"/>
        <w:rPr>
          <w:b/>
          <w:bCs/>
          <w:sz w:val="24"/>
          <w:szCs w:val="24"/>
        </w:rPr>
      </w:pPr>
      <w:r>
        <w:rPr>
          <w:b/>
          <w:bCs/>
          <w:sz w:val="24"/>
          <w:szCs w:val="24"/>
        </w:rPr>
        <w:t>2. LITERATURE REVIEW</w:t>
      </w:r>
    </w:p>
    <w:p>
      <w:pPr>
        <w:pStyle w:val="style0"/>
        <w:spacing w:lineRule="auto" w:line="360"/>
        <w:jc w:val="both"/>
        <w:rPr>
          <w:b/>
          <w:sz w:val="24"/>
          <w:szCs w:val="24"/>
        </w:rPr>
      </w:pPr>
      <w:r>
        <w:rPr>
          <w:b/>
          <w:bCs/>
          <w:sz w:val="24"/>
          <w:szCs w:val="24"/>
        </w:rPr>
        <w:t xml:space="preserve">2.1. </w:t>
      </w:r>
      <w:r>
        <w:rPr>
          <w:b/>
          <w:bCs/>
          <w:sz w:val="24"/>
          <w:szCs w:val="24"/>
        </w:rPr>
        <w:t>Education as a Power of Social Mobility</w:t>
      </w:r>
    </w:p>
    <w:p>
      <w:pPr>
        <w:pStyle w:val="style0"/>
        <w:spacing w:lineRule="auto" w:line="360"/>
        <w:ind w:firstLine="720"/>
        <w:jc w:val="both"/>
        <w:rPr>
          <w:sz w:val="24"/>
          <w:szCs w:val="24"/>
        </w:rPr>
      </w:pPr>
      <w:r>
        <w:rPr>
          <w:sz w:val="24"/>
          <w:szCs w:val="24"/>
        </w:rPr>
        <w:t xml:space="preserve">The mobility of a person's social class cannot be separated from education because education is a factor that has a high correlation with the quality of human life </w:t>
      </w:r>
      <w:r>
        <w:rPr>
          <w:sz w:val="24"/>
          <w:szCs w:val="24"/>
        </w:rPr>
        <w:fldChar w:fldCharType="begin"/>
      </w:r>
      <w:r>
        <w:rPr>
          <w:sz w:val="24"/>
          <w:szCs w:val="24"/>
        </w:rPr>
        <w:instrText>ADDIN CSL_CITATION {"citationItems":[{"id":"ITEM-1","itemData":{"author":[{"dropping-particle":"","family":"Kim","given":"Myoung-hee","non-dropping-particle":"","parse-names":false,"suffix":""},{"dropping-particle":"","family":"Kim","given":"Myoung-hee","non-dropping-particle":"","parse-names":false,"suffix":""}],"id":"ITEM-1","issued":{"date-parts":[["2020"]]},"title":"Changes in the Health-related Quality of Life among Korean Adults : Data Comparison between 2007 and 2017","type":"article-journal"},"uris":["http://www.mendeley.com/documents/?uuid=f1855089-645c-4b0c-aec2-7b95b3f71927"]}],"mendeley":{"formattedCitation":"(Kim and Kim 2020)","manualFormatting":"(Kim, 2020)","plainTextFormattedCitation":"(Kim and Kim 2020)","previouslyFormattedCitation":"(Kim and Kim 2020)"},"properties":{"noteIndex":0},"schema":"https://github.com/citation-style-language/schema/raw/master/csl-citation.json"}</w:instrText>
      </w:r>
      <w:r>
        <w:rPr>
          <w:sz w:val="24"/>
          <w:szCs w:val="24"/>
        </w:rPr>
        <w:fldChar w:fldCharType="separate"/>
      </w:r>
      <w:r>
        <w:rPr>
          <w:noProof/>
          <w:sz w:val="24"/>
          <w:szCs w:val="24"/>
        </w:rPr>
        <w:t>(Kim, 2020</w:t>
      </w:r>
      <w:r>
        <w:rPr>
          <w:sz w:val="24"/>
          <w:szCs w:val="24"/>
        </w:rPr>
        <w:fldChar w:fldCharType="end"/>
      </w:r>
      <w:r>
        <w:rPr>
          <w:sz w:val="24"/>
          <w:szCs w:val="24"/>
        </w:rPr>
        <w:t xml:space="preserve">; </w:t>
      </w:r>
      <w:r>
        <w:rPr>
          <w:sz w:val="24"/>
          <w:szCs w:val="24"/>
        </w:rPr>
        <w:fldChar w:fldCharType="begin"/>
      </w:r>
      <w:r>
        <w:rPr>
          <w:sz w:val="24"/>
          <w:szCs w:val="24"/>
        </w:rPr>
        <w:instrText>ADDIN CSL_CITATION {"citationItems":[{"id":"ITEM-1","itemData":{"DOI":"10.46328/ijtes.v4i4.107","abstract":"In this paper, undergraduate student attitudes towards rapidly shifting to an entirely online learning environment were assessed due to COVID-19. In addition, surveys on perceptions about misinformation in media, overall anxiety towards distance learning, knowledge of disease outbreak, and level of preparedness during the onset of the Coronavirus (COVID-19) 2020 outbreak were analyzed. Students surveyed (N = 82) consisted of Wingate undergraduate students from across majors and academic years as part of an animal behavior course covering psychology and human behavior during the COVID-19 2020 crisis during the first two weeks when students returned to school entirely online from off-campus. The majority of students responded that online learning would not be the same as in-class learning (91.5%), indicating a significant difference in responses. Many students indicated they had witnessed some misinformation on COVID-19 in media (98.8%), and there was a significant difference for student perception on being well informed from standard news media (e.g., TV, newspapers) versus social media (t-test = 3.78, p &lt;0.001). Many students (75.6%) responded they held some level of anxiety towards rapidly shifting to finishing a semester online, with 84.2% having discussed disease transmission actively and yet only 64.6% felt well prepared for emergency situations. The majority of students felt preventative measures (university requiring students to move off campus and remainder of semester moving to online distance learning) were based on good science and medical knowledge. Of the students that freely commented in the survey, overall students displayed a wide range of responses, with most expressing anxiety toward online learning, disappointment regarding graduation ceremony, and online learning being different than standard in-class learning. A follow up survey consisting of one question, revealed improvement in students that stated they felt less anxiety towards online learning after 3 weeks (51.4% Yes: 48.6% No), but still many students exhibiting anxiety towards distance education.","author":[{"dropping-particle":"","family":"Unger","given":"Shem","non-dropping-particle":"","parse-names":false,"suffix":""},{"dropping-particle":"","family":"Meiran","given":"William","non-dropping-particle":"","parse-names":false,"suffix":""}],"container-title":"International Journal of Technology in Education and Science","id":"ITEM-1","issued":{"date-parts":[["2020"]]},"title":"Student Attitudes Towards Online Education during the COVID-19 Viral Outbreak of 2020: Distance Learning in a Time of Social Distance","type":"article-journal"},"uris":["http://www.mendeley.com/documents/?uuid=de0d6555-86ff-499c-b02a-8bb1257f84be","http://www.mendeley.com/documents/?uuid=272428b9-82e7-4b71-8787-1e40ce1c4f0b"]}],"mendeley":{"formattedCitation":"(Unger and Meiran 2020)","manualFormatting":"Unger and Meiran 2020)","plainTextFormattedCitation":"(Unger and Meiran 2020)"},"properties":{"noteIndex":0},"schema":"https://github.com/citation-style-language/schema/raw/master/csl-citation.json"}</w:instrText>
      </w:r>
      <w:r>
        <w:rPr>
          <w:sz w:val="24"/>
          <w:szCs w:val="24"/>
        </w:rPr>
        <w:fldChar w:fldCharType="separate"/>
      </w:r>
      <w:r>
        <w:rPr>
          <w:noProof/>
          <w:sz w:val="24"/>
          <w:szCs w:val="24"/>
        </w:rPr>
        <w:t>Unger and Meiran 2020)</w:t>
      </w:r>
      <w:r>
        <w:rPr>
          <w:sz w:val="24"/>
          <w:szCs w:val="24"/>
        </w:rPr>
        <w:fldChar w:fldCharType="end"/>
      </w:r>
      <w:r>
        <w:rPr>
          <w:sz w:val="24"/>
          <w:szCs w:val="24"/>
        </w:rPr>
        <w:t xml:space="preserve">. </w:t>
      </w:r>
      <w:r>
        <w:rPr>
          <w:sz w:val="24"/>
          <w:szCs w:val="24"/>
        </w:rPr>
        <w:t xml:space="preserve">The mobility experienced by people with higher education, as shown by Berger &amp; </w:t>
      </w:r>
      <w:r>
        <w:rPr>
          <w:sz w:val="24"/>
          <w:szCs w:val="24"/>
        </w:rPr>
        <w:t>Engzell</w:t>
      </w:r>
      <w:r>
        <w:rPr>
          <w:sz w:val="24"/>
          <w:szCs w:val="24"/>
        </w:rPr>
        <w:t xml:space="preserve">, is inversely proportional to those who have difficulty accessing education. </w:t>
      </w:r>
      <w:r>
        <w:rPr>
          <w:sz w:val="24"/>
          <w:szCs w:val="24"/>
        </w:rPr>
        <w:fldChar w:fldCharType="begin"/>
      </w:r>
      <w:r>
        <w:rPr>
          <w:sz w:val="24"/>
          <w:szCs w:val="24"/>
        </w:rPr>
        <w:instrText>ADDIN CSL_CITATION {"citationItems":[{"id":"ITEM-1","itemData":{"DOI":"10.1177/2378023120951139","ISSN":"23780231","abstract":"Concerns that prospects for upward mobility are fading are common in popular and scientific discourse. The fact that fewer Americans today surpass their parents’ economic status than in the past has been invoked to explain trends ranging from the recent spike in drug and alcohol poisonings to the growing appeal of right-wing populism. Using General Social Survey data, the authors ask whether people actually feel that their standard of living is falling short of that of previous generations. In contrast to data on income, education, or occupation, a majority still perceive that they have attained a higher standard of living than their parents. At the same time, mobility experiences are becoming increasingly polarized: subjective upward mobility is rising among highly educated, minority, and urban populations and declining among less educated and rural populations.","author":[{"dropping-particle":"","family":"Berger","given":"Thor","non-dropping-particle":"","parse-names":false,"suffix":""},{"dropping-particle":"","family":"Engzell","given":"Per","non-dropping-particle":"","parse-names":false,"suffix":""}],"container-title":"Socius","id":"ITEM-1","issued":{"date-parts":[["2020"]]},"title":"Trends and Disparities in Subjective Upward Mobility since 1940","type":"article-journal"},"uris":["http://www.mendeley.com/documents/?uuid=fafd11c3-7ad6-4bda-90ea-e55e50bcd285","http://www.mendeley.com/documents/?uuid=1a8a108b-d32a-433c-97ee-9e551cd9fcd1"]}],"mendeley":{"formattedCitation":"(Berger and Engzell 2020)","plainTextFormattedCitation":"(Berger and Engzell 2020)","previouslyFormattedCitation":"(Berger and Engzell 2020)"},"properties":{"noteIndex":0},"schema":"https://github.com/citation-style-language/schema/raw/master/csl-citation.json"}</w:instrText>
      </w:r>
      <w:r>
        <w:rPr>
          <w:sz w:val="24"/>
          <w:szCs w:val="24"/>
        </w:rPr>
        <w:fldChar w:fldCharType="separate"/>
      </w:r>
      <w:r>
        <w:rPr>
          <w:noProof/>
          <w:sz w:val="24"/>
          <w:szCs w:val="24"/>
        </w:rPr>
        <w:t>(Berger and Engzell 2020)</w:t>
      </w:r>
      <w:r>
        <w:rPr>
          <w:sz w:val="24"/>
          <w:szCs w:val="24"/>
        </w:rPr>
        <w:fldChar w:fldCharType="end"/>
      </w:r>
      <w:r>
        <w:rPr>
          <w:sz w:val="24"/>
          <w:szCs w:val="24"/>
        </w:rPr>
        <w:t>.</w:t>
      </w:r>
      <w:r>
        <w:t xml:space="preserve"> </w:t>
      </w:r>
      <w:r>
        <w:rPr>
          <w:sz w:val="24"/>
          <w:szCs w:val="24"/>
        </w:rPr>
        <w:t>Education received by a group of people is positively correlated with a</w:t>
      </w:r>
      <w:r>
        <w:rPr>
          <w:sz w:val="24"/>
          <w:szCs w:val="24"/>
        </w:rPr>
        <w:t xml:space="preserve"> capital increase</w:t>
      </w:r>
      <w:r>
        <w:rPr>
          <w:sz w:val="24"/>
          <w:szCs w:val="24"/>
        </w:rPr>
        <w:t xml:space="preserve">. Significant </w:t>
      </w:r>
      <w:r>
        <w:rPr>
          <w:sz w:val="24"/>
          <w:szCs w:val="24"/>
        </w:rPr>
        <w:t>economic, health, social, and cultural improvement</w:t>
      </w:r>
      <w:r>
        <w:rPr>
          <w:sz w:val="24"/>
          <w:szCs w:val="24"/>
        </w:rPr>
        <w:t xml:space="preserve">s </w:t>
      </w:r>
      <w:r>
        <w:rPr>
          <w:sz w:val="24"/>
          <w:szCs w:val="24"/>
        </w:rPr>
        <w:t>result from</w:t>
      </w:r>
      <w:r>
        <w:rPr>
          <w:sz w:val="24"/>
          <w:szCs w:val="24"/>
        </w:rPr>
        <w:t xml:space="preserve"> capital accumulation from educational activities</w:t>
      </w:r>
      <w:r>
        <w:rPr>
          <w:sz w:val="24"/>
          <w:szCs w:val="24"/>
        </w:rPr>
        <w:t xml:space="preserve"> </w:t>
      </w:r>
      <w:r>
        <w:rPr>
          <w:sz w:val="24"/>
          <w:szCs w:val="24"/>
        </w:rPr>
        <w:fldChar w:fldCharType="begin"/>
      </w:r>
      <w:r>
        <w:rPr>
          <w:sz w:val="24"/>
          <w:szCs w:val="24"/>
        </w:rPr>
        <w:instrText>ADDIN CSL_CITATION {"citationItems":[{"id":"ITEM-1","itemData":{"DOI":"10.1111/bjet.13041","ISSN":"14678535","abstract":"This paper uses nationally representative survey data of adults Internet use in Britain to examine current patterns in the uptake of lifelong learning via the Internet. We develop and test a model that accounts for structure, agency and outcomes using structural equation modelling to address two questions: (1) how structure (as measured by age, gender, SES, Education and ACORN) is related to personal and capital enhancing outcomes of learning online; and (2) how agency (as measured by digital skills and engagement with online learning) mediates this relationship. We demonstrate that social structure remains an important factor in understanding patterns of uptake and outcomes of online learning, alongside an individual’s agentic behaviours. We suggest that countries such as the UK, which have become overly focused on individual interventions to increase the uptake of lifelong learning via the Internet, are going in the wrong direction. Such interventions have failed in the past, and we suggest that they will continue to do so unless policy makers reconceptualise lifelong learning and the Internet in ways that take social structures into account.","author":[{"dropping-particle":"","family":"Eynon","given":"Rebecca","non-dropping-particle":"","parse-names":false,"suffix":""},{"dropping-particle":"","family":"Malmberg","given":"Lars Erik","non-dropping-particle":"","parse-names":false,"suffix":""}],"container-title":"British Journal of Educational Technology","id":"ITEM-1","issued":{"date-parts":[["2020"]]},"title":"Lifelong learning and the Internet: Who benefits most from learning online?","type":"article-journal"},"uris":["http://www.mendeley.com/documents/?uuid=030be4ef-3b99-4398-9009-c8d94679062b","http://www.mendeley.com/documents/?uuid=d8adfa5d-e41a-4e15-9212-cc4a29d25fec"]}],"mendeley":{"formattedCitation":"(Eynon and Malmberg 2020)","plainTextFormattedCitation":"(Eynon and Malmberg 2020)","previouslyFormattedCitation":"(Eynon and Malmberg 2020)"},"properties":{"noteIndex":0},"schema":"https://github.com/citation-style-language/schema/raw/master/csl-citation.json"}</w:instrText>
      </w:r>
      <w:r>
        <w:rPr>
          <w:sz w:val="24"/>
          <w:szCs w:val="24"/>
        </w:rPr>
        <w:fldChar w:fldCharType="separate"/>
      </w:r>
      <w:r>
        <w:rPr>
          <w:noProof/>
          <w:sz w:val="24"/>
          <w:szCs w:val="24"/>
        </w:rPr>
        <w:t>(Eynon and Malmberg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Education </w:t>
      </w:r>
      <w:r>
        <w:rPr>
          <w:sz w:val="24"/>
          <w:szCs w:val="24"/>
        </w:rPr>
        <w:t>has a personal effect and has a significant impact on the community and society,</w:t>
      </w:r>
      <w:r>
        <w:rPr>
          <w:sz w:val="24"/>
          <w:szCs w:val="24"/>
        </w:rPr>
        <w:t xml:space="preserve"> which can be seen in increasing the </w:t>
      </w:r>
      <w:r>
        <w:rPr>
          <w:sz w:val="24"/>
          <w:szCs w:val="24"/>
        </w:rPr>
        <w:t>population's standard of living and welfare</w:t>
      </w:r>
      <w:r>
        <w:rPr>
          <w:sz w:val="24"/>
          <w:szCs w:val="24"/>
        </w:rPr>
        <w:t xml:space="preserve">. Opening access to education for the whole community is a way that allows one's mobility to move towards a higher social class </w:t>
      </w:r>
      <w:r>
        <w:rPr>
          <w:sz w:val="24"/>
          <w:szCs w:val="24"/>
        </w:rPr>
        <w:t xml:space="preserve"> </w:t>
      </w:r>
      <w:r>
        <w:rPr>
          <w:sz w:val="24"/>
          <w:szCs w:val="24"/>
        </w:rPr>
        <w:fldChar w:fldCharType="begin"/>
      </w:r>
      <w:r>
        <w:rPr>
          <w:sz w:val="24"/>
          <w:szCs w:val="24"/>
        </w:rPr>
        <w:instrText>ADDIN CSL_CITATION {"citationItems":[{"id":"ITEM-1","itemData":{"DOI":"10.1177/2372732220943912","ISSN":"23727330","abstract":"The COVID-19 pandemic exposed long-standing class-based inequities in education and as a result highlighted the role of structural supports (e.g., food, stable housing, income) promoting economic opportunity. Although social class mobility is often attributed to perceptions of hard work, science does not support these dominant narratives. Instead, access to quality education and structural supports correlate with economic uplift. By eliminating structural barriers to low-income college students’ degree completion and coordinating efforts to assist low-income students, policymakers can restore the promise of economic mobility through education. This article focuses on the psychological and behavioral science that should inform higher education policy. As the country recovers from the COVID-19 pandemic, a structure-based, scientific approach to facilitate equal opportunity in higher education is vital to spurring greater economic mobility and avoiding further entrenchment of economic inequalities.","author":[{"dropping-particle":"","family":"Williams","given":"Wendy R.","non-dropping-particle":"","parse-names":false,"suffix":""},{"dropping-particle":"","family":"Reppond","given":"Harmony A.","non-dropping-particle":"","parse-names":false,"suffix":""}],"container-title":"Policy Insights from the Behavioral and Brain Sciences","id":"ITEM-1","issued":{"date-parts":[["2020"]]},"title":"More Than Just Hard Work: Educational Policies to Facilitate Economic Mobility","type":"article-journal"},"uris":["http://www.mendeley.com/documents/?uuid=6c89fabc-8cc8-49e8-b7bb-9bac01ee46ba","http://www.mendeley.com/documents/?uuid=4d454939-b562-4555-ae31-6cdb956aa139","http://www.mendeley.com/documents/?uuid=e1e294e1-c531-4816-9361-e23015d5b5ae"]}],"mendeley":{"formattedCitation":"(Williams and Reppond 2020)","manualFormatting":"(Williams and Reppond, 2020)","plainTextFormattedCitation":"(Williams and Reppond 2020)","previouslyFormattedCitation":"(Williams and Reppond 2020)"},"properties":{"noteIndex":0},"schema":"https://github.com/citation-style-language/schema/raw/master/csl-citation.json"}</w:instrText>
      </w:r>
      <w:r>
        <w:rPr>
          <w:sz w:val="24"/>
          <w:szCs w:val="24"/>
        </w:rPr>
        <w:fldChar w:fldCharType="separate"/>
      </w:r>
      <w:r>
        <w:rPr>
          <w:noProof/>
          <w:sz w:val="24"/>
          <w:szCs w:val="24"/>
        </w:rPr>
        <w:t>(Williams and Reppond, 2020)</w:t>
      </w:r>
      <w:r>
        <w:rPr>
          <w:sz w:val="24"/>
          <w:szCs w:val="24"/>
        </w:rPr>
        <w:fldChar w:fldCharType="end"/>
      </w:r>
      <w:r>
        <w:rPr>
          <w:sz w:val="24"/>
          <w:szCs w:val="24"/>
        </w:rPr>
        <w:t xml:space="preserve">. </w:t>
      </w:r>
      <w:r>
        <w:rPr>
          <w:sz w:val="24"/>
          <w:szCs w:val="24"/>
        </w:rPr>
        <w:t xml:space="preserve">So it is not surprising that education has long been highlighted as part of an important indicator to determine the position of an equally </w:t>
      </w:r>
      <w:r>
        <w:rPr>
          <w:sz w:val="24"/>
          <w:szCs w:val="24"/>
        </w:rPr>
        <w:t>vital</w:t>
      </w:r>
      <w:r>
        <w:rPr>
          <w:sz w:val="24"/>
          <w:szCs w:val="24"/>
        </w:rPr>
        <w:t xml:space="preserve"> social role.</w:t>
      </w:r>
    </w:p>
    <w:p>
      <w:pPr>
        <w:pStyle w:val="style0"/>
        <w:spacing w:lineRule="auto" w:line="360"/>
        <w:jc w:val="both"/>
        <w:rPr>
          <w:sz w:val="24"/>
          <w:szCs w:val="24"/>
        </w:rPr>
      </w:pPr>
      <w:r>
        <w:rPr>
          <w:sz w:val="24"/>
          <w:szCs w:val="24"/>
        </w:rPr>
        <w:tab/>
      </w:r>
      <w:r>
        <w:rPr>
          <w:sz w:val="24"/>
          <w:szCs w:val="24"/>
        </w:rPr>
        <w:t xml:space="preserve">The ability of a country to implement an open education system is different even though the outcome of the education process is almost the same, namely encouraging an increase in the socio-economic class of the population. Education that can </w:t>
      </w:r>
      <w:r>
        <w:rPr>
          <w:sz w:val="24"/>
          <w:szCs w:val="24"/>
        </w:rPr>
        <w:t>promot</w:t>
      </w:r>
      <w:r>
        <w:rPr>
          <w:sz w:val="24"/>
          <w:szCs w:val="24"/>
        </w:rPr>
        <w:t xml:space="preserve">e one's class mobility is seen as an appropriate target of policies </w:t>
      </w:r>
      <w:r>
        <w:rPr>
          <w:sz w:val="24"/>
          <w:szCs w:val="24"/>
        </w:rPr>
        <w:t>to address</w:t>
      </w:r>
      <w:r>
        <w:rPr>
          <w:sz w:val="24"/>
          <w:szCs w:val="24"/>
        </w:rPr>
        <w:t xml:space="preserve"> inequality problems </w:t>
      </w:r>
      <w:r>
        <w:rPr>
          <w:sz w:val="24"/>
          <w:szCs w:val="24"/>
        </w:rPr>
        <w:fldChar w:fldCharType="begin"/>
      </w:r>
      <w:r>
        <w:rPr>
          <w:sz w:val="24"/>
          <w:szCs w:val="24"/>
        </w:rPr>
        <w:instrText>ADDIN CSL_CITATION {"citationItems":[{"id":"ITEM-1","itemData":{"DOI":"10.1177/0956797620924677","ISSN":"14679280","PMID":"32603210","abstract":"We investigated intergenerational educational and occupational mobility in a sample of 2,594 adult offspring and 2,530 of their parents. Participants completed assessments of general cognitive ability and five noncognitive factors related to social achievement; 88% were also genotyped, allowing computation of educational-attainment polygenic scores. Most offspring were socially mobile. Offspring who scored at least 1 standard deviation higher than their parents on both cognitive and noncognitive measures rarely moved down and frequently moved up. Polygenic scores were also associated with social mobility. Inheritance of a favorable subset of parent alleles was associated with moving up, and inheritance of an unfavorable subset was associated with moving down. Parents’ education did not moderate the association of offspring’s skill with mobility, suggesting that low-skilled offspring from advantaged homes were not protected from downward mobility. These data suggest that cognitive and noncognitive skills as well as genetic factors contribute to the reordering of social standing that takes place across generations.","author":[{"dropping-particle":"","family":"McGue","given":"Matt","non-dropping-particle":"","parse-names":false,"suffix":""},{"dropping-particle":"","family":"Willoughby","given":"Emily A.","non-dropping-particle":"","parse-names":false,"suffix":""},{"dropping-particle":"","family":"Rustichini","given":"Aldo","non-dropping-particle":"","parse-names":false,"suffix":""},{"dropping-particle":"","family":"Johnson","given":"Wendy","non-dropping-particle":"","parse-names":false,"suffix":""},{"dropping-particle":"","family":"Iacono","given":"William G.","non-dropping-particle":"","parse-names":false,"suffix":""},{"dropping-particle":"","family":"Lee","given":"James J.","non-dropping-particle":"","parse-names":false,"suffix":""}],"container-title":"Psychological Science","id":"ITEM-1","issued":{"date-parts":[["2020"]]},"title":"The Contribution of Cognitive and Noncognitive Skills to Intergenerational Social Mobility","type":"article-journal"},"uris":["http://www.mendeley.com/documents/?uuid=9c4ca56e-e771-4da8-a7f8-1faaf1334b69","http://www.mendeley.com/documents/?uuid=6a50c96e-bb42-4584-b687-916594f54122"]}],"mendeley":{"formattedCitation":"(McGue et al. 2020)","plainTextFormattedCitation":"(McGue et al. 2020)","previouslyFormattedCitation":"(McGue et al. 2020)"},"properties":{"noteIndex":0},"schema":"https://github.com/citation-style-language/schema/raw/master/csl-citation.json"}</w:instrText>
      </w:r>
      <w:r>
        <w:rPr>
          <w:sz w:val="24"/>
          <w:szCs w:val="24"/>
        </w:rPr>
        <w:fldChar w:fldCharType="separate"/>
      </w:r>
      <w:r>
        <w:rPr>
          <w:noProof/>
          <w:sz w:val="24"/>
          <w:szCs w:val="24"/>
        </w:rPr>
        <w:t>(McGue et al. 2020)</w:t>
      </w:r>
      <w:r>
        <w:rPr>
          <w:sz w:val="24"/>
          <w:szCs w:val="24"/>
        </w:rPr>
        <w:fldChar w:fldCharType="end"/>
      </w:r>
      <w:r>
        <w:rPr>
          <w:sz w:val="24"/>
          <w:szCs w:val="24"/>
        </w:rPr>
        <w:t xml:space="preserve">. </w:t>
      </w:r>
      <w:r>
        <w:rPr>
          <w:sz w:val="24"/>
          <w:szCs w:val="24"/>
        </w:rPr>
        <w:t>Socio-economic inequality has limited access</w:t>
      </w:r>
      <w:r>
        <w:rPr>
          <w:sz w:val="24"/>
          <w:szCs w:val="24"/>
        </w:rPr>
        <w:t>, threatening</w:t>
      </w:r>
      <w:r>
        <w:rPr>
          <w:sz w:val="24"/>
          <w:szCs w:val="24"/>
        </w:rPr>
        <w:t xml:space="preserve"> the population's opportunity to succeed in academics</w:t>
      </w:r>
      <w:r>
        <w:rPr>
          <w:sz w:val="24"/>
          <w:szCs w:val="24"/>
        </w:rPr>
        <w:t xml:space="preserve"> </w:t>
      </w:r>
      <w:r>
        <w:rPr>
          <w:sz w:val="24"/>
          <w:szCs w:val="24"/>
        </w:rPr>
        <w:fldChar w:fldCharType="begin"/>
      </w:r>
      <w:r>
        <w:rPr>
          <w:sz w:val="24"/>
          <w:szCs w:val="24"/>
        </w:rPr>
        <w:instrText>ADDIN CSL_CITATION {"citationItems":[{"id":"ITEM-1","itemData":{"DOI":"10.1177/2372732220943912","ISSN":"23727330","abstract":"The COVID-19 pandemic exposed long-standing class-based inequities in education and as a result highlighted the role of structural supports (e.g., food, stable housing, income) promoting economic opportunity. Although social class mobility is often attributed to perceptions of hard work, science does not support these dominant narratives. Instead, access to quality education and structural supports correlate with economic uplift. By eliminating structural barriers to low-income college students’ degree completion and coordinating efforts to assist low-income students, policymakers can restore the promise of economic mobility through education. This article focuses on the psychological and behavioral science that should inform higher education policy. As the country recovers from the COVID-19 pandemic, a structure-based, scientific approach to facilitate equal opportunity in higher education is vital to spurring greater economic mobility and avoiding further entrenchment of economic inequalities.","author":[{"dropping-particle":"","family":"Williams","given":"Wendy R.","non-dropping-particle":"","parse-names":false,"suffix":""},{"dropping-particle":"","family":"Reppond","given":"Harmony A.","non-dropping-particle":"","parse-names":false,"suffix":""}],"container-title":"Policy Insights from the Behavioral and Brain Sciences","id":"ITEM-1","issued":{"date-parts":[["2020"]]},"title":"More Than Just Hard Work: Educational Policies to Facilitate Economic Mobility","type":"article-journal"},"uris":["http://www.mendeley.com/documents/?uuid=4d454939-b562-4555-ae31-6cdb956aa139"]}],"mendeley":{"formattedCitation":"(Williams and Reppond 2020)","plainTextFormattedCitation":"(Williams and Reppond 2020)","previouslyFormattedCitation":"(Williams and Reppond 2020)"},"properties":{"noteIndex":0},"schema":"https://github.com/citation-style-language/schema/raw/master/csl-citation.json"}</w:instrText>
      </w:r>
      <w:r>
        <w:rPr>
          <w:sz w:val="24"/>
          <w:szCs w:val="24"/>
        </w:rPr>
        <w:fldChar w:fldCharType="separate"/>
      </w:r>
      <w:r>
        <w:rPr>
          <w:noProof/>
          <w:sz w:val="24"/>
          <w:szCs w:val="24"/>
        </w:rPr>
        <w:t>(Williams and Reppond 2020)</w:t>
      </w:r>
      <w:r>
        <w:rPr>
          <w:sz w:val="24"/>
          <w:szCs w:val="24"/>
        </w:rPr>
        <w:fldChar w:fldCharType="end"/>
      </w:r>
      <w:r>
        <w:rPr>
          <w:sz w:val="24"/>
          <w:szCs w:val="24"/>
        </w:rPr>
        <w:t xml:space="preserve">. </w:t>
      </w:r>
      <w:r>
        <w:rPr>
          <w:sz w:val="24"/>
          <w:szCs w:val="24"/>
        </w:rPr>
        <w:t>Socio-economic inequality has limited access</w:t>
      </w:r>
      <w:r>
        <w:rPr>
          <w:sz w:val="24"/>
          <w:szCs w:val="24"/>
        </w:rPr>
        <w:t>, threatening</w:t>
      </w:r>
      <w:r>
        <w:rPr>
          <w:sz w:val="24"/>
          <w:szCs w:val="24"/>
        </w:rPr>
        <w:t xml:space="preserve"> the population's opportunity to succeed in academics </w:t>
      </w:r>
      <w:r>
        <w:rPr>
          <w:sz w:val="24"/>
          <w:szCs w:val="24"/>
        </w:rPr>
        <w:fldChar w:fldCharType="begin"/>
      </w:r>
      <w:r>
        <w:rPr>
          <w:sz w:val="24"/>
          <w:szCs w:val="24"/>
        </w:rPr>
        <w:instrText>ADDIN CSL_CITATION {"citationItems":[{"id":"ITEM-1","itemData":{"DOI":"10.1016/j.ssresearch.2019.102387","ISSN":"0049089X","PMID":"32056570","abstract":"Recently, several genome-wide association studies of educational attainment have found education-related genetic variants and enabled the integration of human inheritance into social research. This study incorporates the newest education polygenic score (Lee et al., 2018) into sociological research, and tests three gene-environment interaction hypotheses on status attainment. Using the Health and Retirement Study (N = 7599), I report three findings. First, a standard deviation increase in the education polygenic score is associated with a 58% increase in the likelihood of advancing to the next level of education, while a standard deviation increase in parental education results in a 53% increase. Second, supporting the Saunders hypothesis, the genetic effect becomes 11% smaller when parental education is one standard deviation higher, indicating that highly educated parents are more able to preserve their family's elite status in the next generation. Finally, the genetic effect is slightly greater for the younger cohort (1942–59) than the older cohort (1920–41). The findings strengthen the existing literature on the social influences in helping children achieve their innate talents.","author":[{"dropping-particle":"","family":"Lin","given":"Meng Jung","non-dropping-particle":"","parse-names":false,"suffix":""}],"container-title":"Social Science Research","id":"ITEM-1","issued":{"date-parts":[["2020"]]},"page":"102387","publisher":"Elsevier Inc.","title":"The social and genetic inheritance of educational attainment: Genes, parental education, and educational expansion","type":"article-journal","volume":"86"},"uris":["http://www.mendeley.com/documents/?uuid=10ce9b9f-3e4b-4671-8c9b-d08781c915da"]}],"mendeley":{"formattedCitation":"(Lin 2020)","plainTextFormattedCitation":"(Lin 2020)","previouslyFormattedCitation":"(Lin 2020)"},"properties":{"noteIndex":0},"schema":"https://github.com/citation-style-language/schema/raw/master/csl-citation.json"}</w:instrText>
      </w:r>
      <w:r>
        <w:rPr>
          <w:sz w:val="24"/>
          <w:szCs w:val="24"/>
        </w:rPr>
        <w:fldChar w:fldCharType="separate"/>
      </w:r>
      <w:r>
        <w:rPr>
          <w:noProof/>
          <w:sz w:val="24"/>
          <w:szCs w:val="24"/>
        </w:rPr>
        <w:t>(Lin 2020)</w:t>
      </w:r>
      <w:r>
        <w:rPr>
          <w:sz w:val="24"/>
          <w:szCs w:val="24"/>
        </w:rPr>
        <w:fldChar w:fldCharType="end"/>
      </w:r>
      <w:r>
        <w:rPr>
          <w:sz w:val="24"/>
          <w:szCs w:val="24"/>
        </w:rPr>
        <w:t>.</w:t>
      </w:r>
      <w:r>
        <w:t xml:space="preserve"> </w:t>
      </w:r>
      <w:r>
        <w:rPr>
          <w:sz w:val="24"/>
          <w:szCs w:val="24"/>
        </w:rPr>
        <w:t xml:space="preserve">Class mobility is made possible by family, community, and institutional support. The social structure that places the family or community in certain strata has become the basis of the inequality of access that </w:t>
      </w:r>
      <w:r>
        <w:rPr>
          <w:sz w:val="24"/>
          <w:szCs w:val="24"/>
        </w:rPr>
        <w:t>a person owns</w:t>
      </w:r>
      <w:r>
        <w:rPr>
          <w:sz w:val="24"/>
          <w:szCs w:val="24"/>
        </w:rPr>
        <w:t xml:space="preserve"> (</w:t>
      </w:r>
      <w:r>
        <w:rPr>
          <w:sz w:val="24"/>
          <w:szCs w:val="24"/>
        </w:rPr>
        <w:t>Tarawiyah</w:t>
      </w:r>
      <w:r>
        <w:rPr>
          <w:sz w:val="24"/>
          <w:szCs w:val="24"/>
        </w:rPr>
        <w:t xml:space="preserve">, 2013; Said, 2014; </w:t>
      </w:r>
      <w:r>
        <w:rPr>
          <w:sz w:val="24"/>
          <w:szCs w:val="24"/>
        </w:rPr>
        <w:t>Pinem</w:t>
      </w:r>
      <w:r>
        <w:rPr>
          <w:sz w:val="24"/>
          <w:szCs w:val="24"/>
        </w:rPr>
        <w:t xml:space="preserve"> &amp; </w:t>
      </w:r>
      <w:r>
        <w:rPr>
          <w:sz w:val="24"/>
          <w:szCs w:val="24"/>
        </w:rPr>
        <w:t>Widiono</w:t>
      </w:r>
      <w:r>
        <w:rPr>
          <w:sz w:val="24"/>
          <w:szCs w:val="24"/>
        </w:rPr>
        <w:t xml:space="preserve">, 2019). </w:t>
      </w:r>
      <w:r>
        <w:rPr>
          <w:sz w:val="24"/>
          <w:szCs w:val="24"/>
        </w:rPr>
        <w:t xml:space="preserve">Policies that are not sensitive to structural differences have made </w:t>
      </w:r>
      <w:r>
        <w:rPr>
          <w:sz w:val="24"/>
          <w:szCs w:val="24"/>
        </w:rPr>
        <w:t xml:space="preserve">the </w:t>
      </w:r>
      <w:r>
        <w:rPr>
          <w:sz w:val="24"/>
          <w:szCs w:val="24"/>
        </w:rPr>
        <w:t xml:space="preserve">social class a differentiator in </w:t>
      </w:r>
      <w:r>
        <w:rPr>
          <w:sz w:val="24"/>
          <w:szCs w:val="24"/>
        </w:rPr>
        <w:t>accessing education,</w:t>
      </w:r>
      <w:r>
        <w:rPr>
          <w:sz w:val="24"/>
          <w:szCs w:val="24"/>
        </w:rPr>
        <w:t xml:space="preserve"> </w:t>
      </w:r>
      <w:r>
        <w:rPr>
          <w:sz w:val="24"/>
          <w:szCs w:val="24"/>
        </w:rPr>
        <w:t>hindering</w:t>
      </w:r>
      <w:r>
        <w:rPr>
          <w:sz w:val="24"/>
          <w:szCs w:val="24"/>
        </w:rPr>
        <w:t xml:space="preserve"> class mobility.</w:t>
      </w:r>
    </w:p>
    <w:p>
      <w:pPr>
        <w:pStyle w:val="style0"/>
        <w:spacing w:lineRule="auto" w:line="360"/>
        <w:jc w:val="both"/>
        <w:rPr>
          <w:b/>
          <w:bCs/>
          <w:sz w:val="24"/>
          <w:szCs w:val="24"/>
        </w:rPr>
      </w:pPr>
      <w:r>
        <w:rPr>
          <w:b/>
          <w:bCs/>
          <w:sz w:val="24"/>
          <w:szCs w:val="24"/>
        </w:rPr>
        <w:t>2.2</w:t>
      </w:r>
      <w:r>
        <w:rPr>
          <w:b/>
          <w:bCs/>
          <w:sz w:val="24"/>
          <w:szCs w:val="24"/>
        </w:rPr>
        <w:t xml:space="preserve">. </w:t>
      </w:r>
      <w:r>
        <w:t xml:space="preserve"> </w:t>
      </w:r>
      <w:r>
        <w:rPr>
          <w:b/>
          <w:bCs/>
          <w:sz w:val="24"/>
          <w:szCs w:val="24"/>
        </w:rPr>
        <w:t>Education</w:t>
      </w:r>
      <w:r>
        <w:rPr>
          <w:b/>
          <w:bCs/>
          <w:sz w:val="24"/>
          <w:szCs w:val="24"/>
        </w:rPr>
        <w:t xml:space="preserve"> in the Time of a Pandemic</w:t>
      </w:r>
      <w:r>
        <w:rPr>
          <w:b/>
          <w:bCs/>
          <w:sz w:val="24"/>
          <w:szCs w:val="24"/>
        </w:rPr>
        <w:t xml:space="preserve"> </w:t>
      </w:r>
    </w:p>
    <w:p>
      <w:pPr>
        <w:pStyle w:val="style0"/>
        <w:spacing w:lineRule="auto" w:line="360"/>
        <w:ind w:firstLine="720"/>
        <w:jc w:val="both"/>
        <w:rPr>
          <w:sz w:val="24"/>
          <w:szCs w:val="24"/>
        </w:rPr>
      </w:pPr>
      <w:r>
        <w:rPr>
          <w:sz w:val="24"/>
          <w:szCs w:val="24"/>
        </w:rPr>
        <w:t xml:space="preserve">The lockdown policy during the Covid-19 pandemic has had a fundamental impact on the world of education </w:t>
      </w:r>
      <w:r>
        <w:rPr>
          <w:sz w:val="24"/>
          <w:szCs w:val="24"/>
        </w:rPr>
        <w:fldChar w:fldCharType="begin"/>
      </w:r>
      <w:r>
        <w:rPr>
          <w:sz w:val="24"/>
          <w:szCs w:val="24"/>
        </w:rPr>
        <w:instrText>ADDIN CSL_CITATION {"citationItems":[{"id":"ITEM-1","itemData":{"DOI":"10.1007/s10671-020-09284-4","ISSN":"15731723","abstract":"Everybody agrees that the COVID-19 pandemic is a big disruption in education. It questions many traditional rules and structures that have organised the work of schools in the past. But not everyone agrees that the pandemic will eventually change schools. In this article, I narrow the scope of that question and ask whether the pandemic helps us fix some of the pre-existing inequalities that we were unable, and often unwilling, to improve. I argue that as we think about how education should be reimagined, it is paramount to continue efforts to make education more inclusive, fairer and equitable for all. I take some early examples from two distinct education systems, Australia and Finland, to highlight how disrupted teaching caused by school closures has had different impacts on schools and teachers. The conclusion is that the pandemic may help make education more equitable if current socio-economic inequalities are addressed early on; teachers and principals are trusted more in leading schools forward in the post-pandemic world; and schools and children are supported to become more self-directed in leading and learning.","author":[{"dropping-particle":"","family":"Sahlberg","given":"Pasi","non-dropping-particle":"","parse-names":false,"suffix":""}],"container-title":"Educational Research for Policy and Practice","id":"ITEM-1","issued":{"date-parts":[["2020"]]},"title":"Does the pandemic help us make education more equitable?","type":"article-journal"},"uris":["http://www.mendeley.com/documents/?uuid=e3c308d1-ede6-4770-86c8-4b16cce1e320","http://www.mendeley.com/documents/?uuid=67c79c15-50c5-4619-bb48-b7d6adc64d4f"]}],"mendeley":{"formattedCitation":"(Sahlberg 2020)","plainTextFormattedCitation":"(Sahlberg 2020)","previouslyFormattedCitation":"(Sahlberg, 2020)"},"properties":{"noteIndex":0},"schema":"https://github.com/citation-style-language/schema/raw/master/csl-citation.json"}</w:instrText>
      </w:r>
      <w:r>
        <w:rPr>
          <w:sz w:val="24"/>
          <w:szCs w:val="24"/>
        </w:rPr>
        <w:fldChar w:fldCharType="separate"/>
      </w:r>
      <w:r>
        <w:rPr>
          <w:noProof/>
          <w:sz w:val="24"/>
          <w:szCs w:val="24"/>
        </w:rPr>
        <w:t>(Sahlberg 2020)</w:t>
      </w:r>
      <w:r>
        <w:rPr>
          <w:sz w:val="24"/>
          <w:szCs w:val="24"/>
        </w:rPr>
        <w:fldChar w:fldCharType="end"/>
      </w:r>
      <w:r>
        <w:rPr>
          <w:sz w:val="24"/>
          <w:szCs w:val="24"/>
        </w:rPr>
        <w:t xml:space="preserve">. </w:t>
      </w:r>
      <w:r>
        <w:rPr>
          <w:sz w:val="24"/>
          <w:szCs w:val="24"/>
        </w:rPr>
        <w:t xml:space="preserve">The conventional face-to-face learning process physically must be changed face-to-face online using online media </w:t>
      </w:r>
      <w:r>
        <w:rPr>
          <w:sz w:val="24"/>
          <w:szCs w:val="24"/>
        </w:rPr>
        <w:fldChar w:fldCharType="begin"/>
      </w:r>
      <w:r>
        <w:rPr>
          <w:sz w:val="24"/>
          <w:szCs w:val="24"/>
        </w:rPr>
        <w:instrText>ADDIN CSL_CITATION {"citationItems":[{"id":"ITEM-1","itemData":{"DOI":"10.13189/ujer.2020.082227","ISSN":"23323213","abstract":"This study aims to evaluate the planning, processes and learning outcomes during the COVID-19 pandemic. This is an evaluative study with a qualitative approach. This research was conducted in the Department of Primary School Education, Faculty of Education, Universitas Negeri Yogyakarta. Research time is in Academic Year 2019/2020 specifically in the COVID-19 pandemic. The evaluation model used is Countenance Stake Model, which contains an evaluation of antecedents, transactions, and outcomes. Subjects in this study were students who took part in lectures and lecturers who did the learning during the COVID-19 pandemic. Data collection is done by documentation, interviews and questionnaire and then analyzed using a qualitative approach. In addition to ensuring the validity of the data of this study, triangulation of sources was carried out. The results showed that the learning service on the antecedent aspect has been running well. This is evidenced by the well-planned lecture services during the pandemic. Another thing obtained in the aspect of transaction that still needs to be improved. This is proven by the fact that effective lecturing methods have not yet been applied during the pandemic. The same thing also happened in the aspect of outcomes that was still not optimal. This is evidenced by the low student satisfaction in learning services during the pandemic.","author":[{"dropping-particle":"","family":"Herwin","given":"","non-dropping-particle":"","parse-names":false,"suffix":""},{"dropping-particle":"","family":"Jabar","given":"Cepi Safruddin Abdul","non-dropping-particle":"","parse-names":false,"suffix":""},{"dropping-particle":"","family":"Senen","given":"Anwar","non-dropping-particle":"","parse-names":false,"suffix":""},{"dropping-particle":"","family":"Wuryandani","given":"Wuri","non-dropping-particle":"","parse-names":false,"suffix":""}],"container-title":"Universal Journal of Educational Research","id":"ITEM-1","issued":{"date-parts":[["2020"]]},"title":"The evaluation of learning services during the covid-19 pandemic","type":"article-journal"},"uris":["http://www.mendeley.com/documents/?uuid=66b57713-d764-41e6-a69b-28f2098e23da","http://www.mendeley.com/documents/?uuid=1fdb14ae-f444-49fd-a59a-c326b8991ced"]}],"mendeley":{"formattedCitation":"(Herwin et al. 2020)","plainTextFormattedCitation":"(Herwin et al. 2020)","previouslyFormattedCitation":"(Herwin et al., 2020)"},"properties":{"noteIndex":0},"schema":"https://github.com/citation-style-language/schema/raw/master/csl-citation.json"}</w:instrText>
      </w:r>
      <w:r>
        <w:rPr>
          <w:sz w:val="24"/>
          <w:szCs w:val="24"/>
        </w:rPr>
        <w:fldChar w:fldCharType="separate"/>
      </w:r>
      <w:r>
        <w:rPr>
          <w:noProof/>
          <w:sz w:val="24"/>
          <w:szCs w:val="24"/>
        </w:rPr>
        <w:t>(Herwin et al. 2020)</w:t>
      </w:r>
      <w:r>
        <w:rPr>
          <w:sz w:val="24"/>
          <w:szCs w:val="24"/>
        </w:rPr>
        <w:fldChar w:fldCharType="end"/>
      </w:r>
      <w:r>
        <w:rPr>
          <w:sz w:val="24"/>
          <w:szCs w:val="24"/>
        </w:rPr>
        <w:t xml:space="preserve">. </w:t>
      </w:r>
      <w:r>
        <w:rPr>
          <w:sz w:val="24"/>
          <w:szCs w:val="24"/>
        </w:rPr>
        <w:t xml:space="preserve">Online learning is generally </w:t>
      </w:r>
      <w:r>
        <w:rPr>
          <w:sz w:val="24"/>
          <w:szCs w:val="24"/>
        </w:rPr>
        <w:t>a form of learning that relies on electronic media connected to the internet as a means of communication</w:t>
      </w:r>
      <w:r>
        <w:rPr>
          <w:sz w:val="24"/>
          <w:szCs w:val="24"/>
        </w:rPr>
        <w:t xml:space="preserve"> and teacher-student interaction </w:t>
      </w:r>
      <w:r>
        <w:rPr>
          <w:sz w:val="24"/>
          <w:szCs w:val="24"/>
        </w:rPr>
        <w:fldChar w:fldCharType="begin"/>
      </w:r>
      <w:r>
        <w:rPr>
          <w:sz w:val="24"/>
          <w:szCs w:val="24"/>
        </w:rPr>
        <w:instrText>ADDIN CSL_CITATION {"citationItems":[{"id":"ITEM-1","itemData":{"author":[{"dropping-particle":"","family":"Tareen","given":"Hashmatullah","non-dropping-particle":"","parse-names":false,"suffix":""},{"dropping-particle":"","family":"Haand","given":"Mohammad Tahir","non-dropping-particle":"","parse-names":false,"suffix":""}],"container-title":"International Journal of Advanced Research and Publications","id":"ITEM-1","issue":"June","issued":{"date-parts":[["2020"]]},"title":"A Case Study of UiTM Post- Graduate Students ’ Perceptions on Online Learning : Benefits &amp; Challenges","type":"article-journal"},"uris":["http://www.mendeley.com/documents/?uuid=a23fd386-e068-4132-a450-4c7003c548c2"]}],"mendeley":{"formattedCitation":"(Tareen and Haand 2020)","manualFormatting":"(Tareen &amp; Haand, 2020","plainTextFormattedCitation":"(Tareen and Haand 2020)","previouslyFormattedCitation":"(Tareen and Haand 2020)"},"properties":{"noteIndex":0},"schema":"https://github.com/citation-style-language/schema/raw/master/csl-citation.json"}</w:instrText>
      </w:r>
      <w:r>
        <w:rPr>
          <w:sz w:val="24"/>
          <w:szCs w:val="24"/>
        </w:rPr>
        <w:fldChar w:fldCharType="separate"/>
      </w:r>
      <w:r>
        <w:rPr>
          <w:noProof/>
          <w:sz w:val="24"/>
          <w:szCs w:val="24"/>
        </w:rPr>
        <w:t>(Tareen &amp; Haand, 2020</w:t>
      </w:r>
      <w:r>
        <w:rPr>
          <w:sz w:val="24"/>
          <w:szCs w:val="24"/>
        </w:rPr>
        <w:fldChar w:fldCharType="end"/>
      </w:r>
      <w:r>
        <w:rPr>
          <w:sz w:val="24"/>
          <w:szCs w:val="24"/>
        </w:rPr>
        <w:t xml:space="preserve">). </w:t>
      </w:r>
      <w:r>
        <w:rPr>
          <w:sz w:val="24"/>
          <w:szCs w:val="24"/>
        </w:rPr>
        <w:t xml:space="preserve">This learning process </w:t>
      </w:r>
      <w:r>
        <w:rPr>
          <w:sz w:val="24"/>
          <w:szCs w:val="24"/>
        </w:rPr>
        <w:t>occurs</w:t>
      </w:r>
      <w:r>
        <w:rPr>
          <w:sz w:val="24"/>
          <w:szCs w:val="24"/>
        </w:rPr>
        <w:t xml:space="preserve"> through </w:t>
      </w:r>
      <w:r>
        <w:rPr>
          <w:sz w:val="24"/>
          <w:szCs w:val="24"/>
        </w:rPr>
        <w:t>various technologies, such as web, email, chat, texts, audio</w:t>
      </w:r>
      <w:r>
        <w:rPr>
          <w:sz w:val="24"/>
          <w:szCs w:val="24"/>
        </w:rPr>
        <w:t>,</w:t>
      </w:r>
      <w:r>
        <w:rPr>
          <w:sz w:val="24"/>
          <w:szCs w:val="24"/>
        </w:rPr>
        <w:t xml:space="preserve"> and video conferencing</w:t>
      </w:r>
      <w:r>
        <w:rPr>
          <w:sz w:val="24"/>
          <w:szCs w:val="24"/>
        </w:rPr>
        <w:t>,</w:t>
      </w:r>
      <w:r>
        <w:rPr>
          <w:sz w:val="24"/>
          <w:szCs w:val="24"/>
        </w:rPr>
        <w:t xml:space="preserve"> connected through a computer network. </w:t>
      </w:r>
      <w:r>
        <w:rPr>
          <w:sz w:val="24"/>
          <w:szCs w:val="24"/>
        </w:rPr>
        <w:fldChar w:fldCharType="begin"/>
      </w:r>
      <w:r>
        <w:rPr>
          <w:sz w:val="24"/>
          <w:szCs w:val="24"/>
        </w:rPr>
        <w:instrText>ADDIN CSL_CITATION {"citationItems":[{"id":"ITEM-1","itemData":{"DOI":"10.1016/j.ijhcs.2020.102411","ISSN":"10959300","abstract":"We present EMODASH, an interactive dashboard supporting tutors’ retrospective awareness of learners’ emotions in a video-conferencing learning environment. Socio-affective relationships play an important role in learning processes and learning outcomes, but they are harder to develop in online-learning. This can be explained by a lack of emotion awareness due to the asynchronous interactions, technical challenges, and tutors’ focus on properly conducting the learning activity and gearing towards pedagogical outcomes. We conducted an eight-week long field study with five professional tutors on how they used EMODASH while writing feedback to learners after language learning sessions. We found that EMODASH led tutors who were already sensitive to learners’ emotions to incorporate more affective elements in their reports, suggesting a stronger awareness of learners’ emotions. Tutors also wrote more formative and less summative feedback. Furthermore, our results suggest that glanceable visualizations of learners’ emotions may be preferred and sufficient to foster tutors’ awareness of learners’ emotions. Finally, the dashboard led tutors to reflect on the way they conduct their lessons, using learners’ positive emotions as a proxy evaluation of their teaching.","author":[{"dropping-particle":"","family":"Ez-zaouia","given":"Mohamed","non-dropping-particle":"","parse-names":false,"suffix":""},{"dropping-particle":"","family":"Tabard","given":"Aurélien","non-dropping-particle":"","parse-names":false,"suffix":""},{"dropping-particle":"","family":"Lavoué","given":"Elise","non-dropping-particle":"","parse-names":false,"suffix":""}],"container-title":"International Journal of Human Computer Studies","id":"ITEM-1","issued":{"date-parts":[["2020"]]},"title":"EMODASH: A dashboard supporting retrospective awareness of emotions in online learning","type":"article-journal"},"uris":["http://www.mendeley.com/documents/?uuid=17410c4a-f9ff-4601-a859-00885d84f154","http://www.mendeley.com/documents/?uuid=7f846aee-40e5-415a-951f-88bbb874eb96"]}],"mendeley":{"formattedCitation":"(Ez-zaouia, Tabard, and Lavoué 2020)","plainTextFormattedCitation":"(Ez-zaouia, Tabard, and Lavoué 2020)","previouslyFormattedCitation":"(Ez-zaouia, Tabard, and Lavoué 2020)"},"properties":{"noteIndex":0},"schema":"https://github.com/citation-style-language/schema/raw/master/csl-citation.json"}</w:instrText>
      </w:r>
      <w:r>
        <w:rPr>
          <w:sz w:val="24"/>
          <w:szCs w:val="24"/>
        </w:rPr>
        <w:fldChar w:fldCharType="separate"/>
      </w:r>
      <w:r>
        <w:rPr>
          <w:noProof/>
          <w:sz w:val="24"/>
          <w:szCs w:val="24"/>
        </w:rPr>
        <w:t>(Ez-zaouia, Tabard, and Lavoué 2020)</w:t>
      </w:r>
      <w:r>
        <w:rPr>
          <w:sz w:val="24"/>
          <w:szCs w:val="24"/>
        </w:rPr>
        <w:fldChar w:fldCharType="end"/>
      </w:r>
      <w:r>
        <w:rPr>
          <w:sz w:val="24"/>
          <w:szCs w:val="24"/>
        </w:rPr>
        <w:t>.</w:t>
      </w:r>
      <w:r>
        <w:rPr>
          <w:sz w:val="24"/>
          <w:szCs w:val="24"/>
        </w:rPr>
        <w:t xml:space="preserve"> </w:t>
      </w:r>
    </w:p>
    <w:p>
      <w:pPr>
        <w:pStyle w:val="style0"/>
        <w:spacing w:lineRule="auto" w:line="360"/>
        <w:ind w:firstLine="720"/>
        <w:jc w:val="both"/>
        <w:rPr>
          <w:sz w:val="24"/>
          <w:szCs w:val="24"/>
        </w:rPr>
      </w:pPr>
      <w:r>
        <w:rPr>
          <w:sz w:val="24"/>
          <w:szCs w:val="24"/>
        </w:rPr>
        <w:t xml:space="preserve">Online learning (e-learning) concerns the concept of learning by changing the time and place of learning </w:t>
      </w:r>
      <w:r>
        <w:rPr>
          <w:sz w:val="24"/>
          <w:szCs w:val="24"/>
        </w:rPr>
        <w:t>to allow</w:t>
      </w:r>
      <w:r>
        <w:rPr>
          <w:sz w:val="24"/>
          <w:szCs w:val="24"/>
        </w:rPr>
        <w:t xml:space="preserve"> children to learn anytime and anywhere without the need to leave their homes</w:t>
      </w:r>
      <w:r>
        <w:rPr>
          <w:sz w:val="24"/>
          <w:szCs w:val="24"/>
        </w:rPr>
        <w:t xml:space="preserve">  (</w:t>
      </w:r>
      <w:r>
        <w:rPr>
          <w:sz w:val="24"/>
          <w:szCs w:val="24"/>
        </w:rPr>
        <w:fldChar w:fldCharType="begin"/>
      </w:r>
      <w:r>
        <w:rPr>
          <w:sz w:val="24"/>
          <w:szCs w:val="24"/>
        </w:rPr>
        <w:instrText>ADDIN CSL_CITATION {"citationItems":[{"id":"ITEM-1","itemData":{"DOI":"10.1177/1745499918763421","ISSN":"17454999","abstract":"The Chinese government has attached great importance to the development of e-learning since its emergence in the 1990s. As a consequence of the implementation of a series of policies, China has made significant achievements in the e-learning arena with respect to infrastructure construction, production of resources, academic education, non-academic training, and education for disadvantaged groups. However, due to the constraints of China’s traditional culture, information literacy, and educational mechanisms, challenges have emerged in the implementation of e-learning that need urgently to be addressed. As e-learning in China continues to grow, major research areas such as students’ and teachers’ perspectives on developments in e-learning, teachers’ pedagogical capacity and ongoing professional development in e-learning settings, and the production of more convenient and useful e-learning resources, are likely to be topics of continuing research interest.","author":[{"dropping-particle":"","family":"Wang","given":"Yan","non-dropping-particle":"","parse-names":false,"suffix":""},{"dropping-particle":"","family":"Liu","given":"Xuan","non-dropping-particle":"","parse-names":false,"suffix":""},{"dropping-particle":"","family":"Zhang","given":"Zhenhong","non-dropping-particle":"","parse-names":false,"suffix":""}],"container-title":"Research in Comparative and International Education","id":"ITEM-1","issue":"1","issued":{"date-parts":[["2018"]]},"page":"195-210","title":"An overview of e-learning in China: History, challenges and opportunities","type":"article-journal","volume":"13"},"uris":["http://www.mendeley.com/documents/?uuid=8adaa941-8dfb-48d4-b173-4915e653232c","http://www.mendeley.com/documents/?uuid=2e2369a0-e9eb-492d-9ff0-7ea21846f93f"]}],"mendeley":{"formattedCitation":"(Wang, Liu, and Zhang 2018)","manualFormatting":"Wang et al., 2018","plainTextFormattedCitation":"(Wang, Liu, and Zhang 2018)","previouslyFormattedCitation":"(Wang, Liu, and Zhang 2018)"},"properties":{"noteIndex":0},"schema":"https://github.com/citation-style-language/schema/raw/master/csl-citation.json"}</w:instrText>
      </w:r>
      <w:r>
        <w:rPr>
          <w:sz w:val="24"/>
          <w:szCs w:val="24"/>
        </w:rPr>
        <w:fldChar w:fldCharType="separate"/>
      </w:r>
      <w:r>
        <w:rPr>
          <w:noProof/>
          <w:sz w:val="24"/>
          <w:szCs w:val="24"/>
        </w:rPr>
        <w:t>Wang et al., 2018</w:t>
      </w:r>
      <w:r>
        <w:rPr>
          <w:sz w:val="24"/>
          <w:szCs w:val="24"/>
        </w:rPr>
        <w:fldChar w:fldCharType="end"/>
      </w:r>
      <w:r>
        <w:rPr>
          <w:sz w:val="24"/>
          <w:szCs w:val="24"/>
        </w:rPr>
        <w:t>)</w:t>
      </w:r>
      <w:r>
        <w:rPr>
          <w:sz w:val="24"/>
          <w:szCs w:val="24"/>
        </w:rPr>
        <w:t>. Some experts consider that online learning has many positive impacts on the learning process</w:t>
      </w:r>
      <w:r>
        <w:rPr>
          <w:sz w:val="24"/>
          <w:szCs w:val="24"/>
        </w:rPr>
        <w:t>,</w:t>
      </w:r>
      <w:r>
        <w:rPr>
          <w:sz w:val="24"/>
          <w:szCs w:val="24"/>
        </w:rPr>
        <w:t xml:space="preserve"> with the teacher as a facilitator</w:t>
      </w:r>
      <w:r>
        <w:rPr>
          <w:sz w:val="24"/>
          <w:szCs w:val="24"/>
        </w:rPr>
        <w:t xml:space="preserve"> (</w:t>
      </w:r>
      <w:r>
        <w:rPr>
          <w:sz w:val="24"/>
          <w:szCs w:val="24"/>
        </w:rPr>
        <w:t>Pujilestari</w:t>
      </w:r>
      <w:r>
        <w:rPr>
          <w:sz w:val="24"/>
          <w:szCs w:val="24"/>
        </w:rPr>
        <w:t xml:space="preserve">, 2020). </w:t>
      </w:r>
      <w:r>
        <w:rPr>
          <w:sz w:val="24"/>
          <w:szCs w:val="24"/>
        </w:rPr>
        <w:t>Formal education</w:t>
      </w:r>
      <w:r>
        <w:rPr>
          <w:sz w:val="24"/>
          <w:szCs w:val="24"/>
        </w:rPr>
        <w:t>,</w:t>
      </w:r>
      <w:r>
        <w:rPr>
          <w:sz w:val="24"/>
          <w:szCs w:val="24"/>
        </w:rPr>
        <w:t xml:space="preserve"> usually carried out in school buildings with a face-to-face system</w:t>
      </w:r>
      <w:r>
        <w:rPr>
          <w:sz w:val="24"/>
          <w:szCs w:val="24"/>
        </w:rPr>
        <w:t>,</w:t>
      </w:r>
      <w:r>
        <w:rPr>
          <w:sz w:val="24"/>
          <w:szCs w:val="24"/>
        </w:rPr>
        <w:t xml:space="preserve"> must then be </w:t>
      </w:r>
      <w:r>
        <w:rPr>
          <w:sz w:val="24"/>
          <w:szCs w:val="24"/>
        </w:rPr>
        <w:t>canceled</w:t>
      </w:r>
      <w:r>
        <w:rPr>
          <w:sz w:val="24"/>
          <w:szCs w:val="24"/>
        </w:rPr>
        <w:t>, postponed</w:t>
      </w:r>
      <w:r>
        <w:rPr>
          <w:sz w:val="24"/>
          <w:szCs w:val="24"/>
        </w:rPr>
        <w:t>,</w:t>
      </w:r>
      <w:r>
        <w:rPr>
          <w:sz w:val="24"/>
          <w:szCs w:val="24"/>
        </w:rPr>
        <w:t xml:space="preserve"> and transferred to online classes that </w:t>
      </w:r>
      <w:r>
        <w:rPr>
          <w:sz w:val="24"/>
          <w:szCs w:val="24"/>
        </w:rPr>
        <w:t>children must undertake</w:t>
      </w:r>
      <w:r>
        <w:rPr>
          <w:sz w:val="24"/>
          <w:szCs w:val="24"/>
        </w:rPr>
        <w:t xml:space="preserve"> </w:t>
      </w:r>
      <w:r>
        <w:rPr>
          <w:sz w:val="24"/>
          <w:szCs w:val="24"/>
        </w:rPr>
        <w:fldChar w:fldCharType="begin"/>
      </w:r>
      <w:r>
        <w:rPr>
          <w:sz w:val="24"/>
          <w:szCs w:val="24"/>
        </w:rPr>
        <w:instrText>ADDIN CSL_CITATION {"citationItems":[{"id":"ITEM-1","itemData":{"DOI":"10.13189/ujer.2020.082227","ISSN":"23323213","abstract":"This study aims to evaluate the planning, processes and learning outcomes during the COVID-19 pandemic. This is an evaluative study with a qualitative approach. This research was conducted in the Department of Primary School Education, Faculty of Education, Universitas Negeri Yogyakarta. Research time is in Academic Year 2019/2020 specifically in the COVID-19 pandemic. The evaluation model used is Countenance Stake Model, which contains an evaluation of antecedents, transactions, and outcomes. Subjects in this study were students who took part in lectures and lecturers who did the learning during the COVID-19 pandemic. Data collection is done by documentation, interviews and questionnaire and then analyzed using a qualitative approach. In addition to ensuring the validity of the data of this study, triangulation of sources was carried out. The results showed that the learning service on the antecedent aspect has been running well. This is evidenced by the well-planned lecture services during the pandemic. Another thing obtained in the aspect of transaction that still needs to be improved. This is proven by the fact that effective lecturing methods have not yet been applied during the pandemic. The same thing also happened in the aspect of outcomes that was still not optimal. This is evidenced by the low student satisfaction in learning services during the pandemic.","author":[{"dropping-particle":"","family":"Herwin","given":"","non-dropping-particle":"","parse-names":false,"suffix":""},{"dropping-particle":"","family":"Jabar","given":"Cepi Safruddin Abdul","non-dropping-particle":"","parse-names":false,"suffix":""},{"dropping-particle":"","family":"Senen","given":"Anwar","non-dropping-particle":"","parse-names":false,"suffix":""},{"dropping-particle":"","family":"Wuryandani","given":"Wuri","non-dropping-particle":"","parse-names":false,"suffix":""}],"container-title":"Universal Journal of Educational Research","id":"ITEM-1","issued":{"date-parts":[["2020"]]},"title":"The evaluation of learning services during the covid-19 pandemic","type":"article-journal"},"uris":["http://www.mendeley.com/documents/?uuid=66b57713-d764-41e6-a69b-28f2098e23da","http://www.mendeley.com/documents/?uuid=1fdb14ae-f444-49fd-a59a-c326b8991ced"]}],"mendeley":{"formattedCitation":"(Herwin et al. 2020)","plainTextFormattedCitation":"(Herwin et al. 2020)","previouslyFormattedCitation":"(Herwin et al. 2020)"},"properties":{"noteIndex":0},"schema":"https://github.com/citation-style-language/schema/raw/master/csl-citation.json"}</w:instrText>
      </w:r>
      <w:r>
        <w:rPr>
          <w:sz w:val="24"/>
          <w:szCs w:val="24"/>
        </w:rPr>
        <w:fldChar w:fldCharType="separate"/>
      </w:r>
      <w:r>
        <w:rPr>
          <w:noProof/>
          <w:sz w:val="24"/>
          <w:szCs w:val="24"/>
        </w:rPr>
        <w:t>(Herwin et al.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The implementation of online education has resulted in various problems in various countries that require policy responses and improvements. In Indonesia, the implementation of online learning has been taking place since March 17, 2020</w:t>
      </w:r>
      <w:r>
        <w:rPr>
          <w:sz w:val="24"/>
          <w:szCs w:val="24"/>
        </w:rPr>
        <w:t>,</w:t>
      </w:r>
      <w:r>
        <w:rPr>
          <w:sz w:val="24"/>
          <w:szCs w:val="24"/>
        </w:rPr>
        <w:t xml:space="preserve"> in line with the instructions from the Ministry of Education. Various difficulties in implementing learning for educational institutions and students in Indonesia urge the need for </w:t>
      </w:r>
      <w:r>
        <w:rPr>
          <w:sz w:val="24"/>
          <w:szCs w:val="24"/>
        </w:rPr>
        <w:t xml:space="preserve">the </w:t>
      </w:r>
      <w:r>
        <w:rPr>
          <w:sz w:val="24"/>
          <w:szCs w:val="24"/>
        </w:rPr>
        <w:t xml:space="preserve">realignment of online learning activities </w:t>
      </w:r>
      <w:r>
        <w:rPr>
          <w:sz w:val="24"/>
          <w:szCs w:val="24"/>
        </w:rPr>
        <w:fldChar w:fldCharType="begin"/>
      </w:r>
      <w:r>
        <w:rPr>
          <w:sz w:val="24"/>
          <w:szCs w:val="24"/>
        </w:rPr>
        <w:instrText>ADDIN CSL_CITATION {"citationItems":[{"id":"ITEM-1","itemData":{"DOI":"10.24815/siele.v8i1.18110","ISSN":"24610275","abstract":"This descriptive study focused on investigating the use of metacognitive online reading strategies that were associated with learning conditions before and during the Covid-19 Pandemic. The respondents were 244 Indonesian EFL students taking an English subject at the Borneo Tarakan University. Data were collected using the Online Survey of Reading Strategies (OSORS) through the application of Google Form. The collected data were analyzed descriptively and quantitatively. The results showed that before the pandemic, support strategies were used more frequently, while global strategies were used less frequently. During the pandemic, support strategies and problem-solving strategies were more dominantly used, while global strategies remained the least used. Although the students differed significantly in using the overall and categorical strategies, they did not have differences in using some of the individual strategies. The students were moderate users of the strategies before the pandemic and were high users during the pandemic. These results imply that EFL students need to have metacognitive awareness to help them better understand what they read online. This can be done by involving students more actively in the use of strategies, especially those that were not different when used before and during the Covid-19 pandemic.","author":[{"dropping-particle":"","family":"Rianto","given":"Agus","non-dropping-particle":"","parse-names":false,"suffix":""}],"container-title":"Studies in English Language and Education","id":"ITEM-1","issued":{"date-parts":[["2021"]]},"title":"Indonesian efl university students’ metacognitive online reading strategies before and during the covid-19 pandemic","type":"article-journal"},"uris":["http://www.mendeley.com/documents/?uuid=93cc175b-b980-4ee2-8ab1-350fef3aae18","http://www.mendeley.com/documents/?uuid=67dd3a53-b284-458d-8506-8a5ff400db94"]}],"mendeley":{"formattedCitation":"(Rianto 2021)","plainTextFormattedCitation":"(Rianto 2021)","previouslyFormattedCitation":"(Rianto, 2021)"},"properties":{"noteIndex":0},"schema":"https://github.com/citation-style-language/schema/raw/master/csl-citation.json"}</w:instrText>
      </w:r>
      <w:r>
        <w:rPr>
          <w:sz w:val="24"/>
          <w:szCs w:val="24"/>
        </w:rPr>
        <w:fldChar w:fldCharType="separate"/>
      </w:r>
      <w:r>
        <w:rPr>
          <w:noProof/>
          <w:sz w:val="24"/>
          <w:szCs w:val="24"/>
        </w:rPr>
        <w:t>(Rianto 2021)</w:t>
      </w:r>
      <w:r>
        <w:rPr>
          <w:sz w:val="24"/>
          <w:szCs w:val="24"/>
        </w:rPr>
        <w:fldChar w:fldCharType="end"/>
      </w:r>
      <w:r>
        <w:rPr>
          <w:sz w:val="24"/>
          <w:szCs w:val="24"/>
        </w:rPr>
        <w:t>.</w:t>
      </w:r>
      <w:r>
        <w:t xml:space="preserve"> </w:t>
      </w:r>
      <w:r>
        <w:rPr>
          <w:sz w:val="24"/>
          <w:szCs w:val="24"/>
        </w:rPr>
        <w:t>The problem caused by the COVID-19 pandemic in education in the United States, as noted by the Institute of International Education survey agency, is the decline in the number of international students during the lockdown period. T</w:t>
      </w:r>
      <w:r>
        <w:rPr>
          <w:sz w:val="24"/>
          <w:szCs w:val="24"/>
        </w:rPr>
        <w:t>wo other countries also experienced thi</w:t>
      </w:r>
      <w:r>
        <w:rPr>
          <w:sz w:val="24"/>
          <w:szCs w:val="24"/>
        </w:rPr>
        <w:t>s, namely England and Australia</w:t>
      </w:r>
      <w:r>
        <w:rPr>
          <w:sz w:val="24"/>
          <w:szCs w:val="24"/>
        </w:rPr>
        <w:t xml:space="preserve"> </w:t>
      </w:r>
      <w:r>
        <w:rPr>
          <w:sz w:val="24"/>
          <w:szCs w:val="24"/>
        </w:rPr>
        <w:fldChar w:fldCharType="begin"/>
      </w:r>
      <w:r>
        <w:rPr>
          <w:sz w:val="24"/>
          <w:szCs w:val="24"/>
        </w:rPr>
        <w:instrText>ADDIN CSL_CITATION {"citationItems":[{"id":"ITEM-1","itemData":{"DOI":"10.1016/j.ijer.2020.101718","ISSN":"08830355","abstract":"The study critically examines how students in Mainland China and Hong Kong conceive overseas studies plans against the COVID-19 crisis. Amongst the 2739 respondents, 84 % showed no interest to study abroad after the pandemic. For those respondents who will continue to pursue further degrees abroad, Asian regions and countries, specifically Hong Kong, Japan and Taiwan, are listed in the top five, apart from the US and the UK. The pandemic has not only significantly decreased international student mobility but is also shifting the mobility flow of international students. This article also discusses the policy implications, particularly reflecting on how the current global health crisis would intensify social and economic inequalities across different higher education systems.","author":[{"dropping-particle":"","family":"Mok","given":"Ka Ho","non-dropping-particle":"","parse-names":false,"suffix":""},{"dropping-particle":"","family":"Xiong","given":"Weiyan","non-dropping-particle":"","parse-names":false,"suffix":""},{"dropping-particle":"","family":"Ke","given":"Guoguo","non-dropping-particle":"","parse-names":false,"suffix":""},{"dropping-particle":"","family":"Cheung","given":"Joyce Oi Wun","non-dropping-particle":"","parse-names":false,"suffix":""}],"container-title":"International Journal of Educational Research","id":"ITEM-1","issued":{"date-parts":[["2021"]]},"title":"Impact of COVID-19 pandemic on international higher education and student mobility: Student perspectives from mainland China and Hong Kong","type":"article-journal"},"uris":["http://www.mendeley.com/documents/?uuid=56930953-520e-49fa-9781-60bbf80c34ee","http://www.mendeley.com/documents/?uuid=befcb1e2-6d05-4945-9880-9545e41b836c"]}],"mendeley":{"formattedCitation":"(Mok et al. 2021)","plainTextFormattedCitation":"(Mok et al. 2021)","previouslyFormattedCitation":"(Mok et al., 2021)"},"properties":{"noteIndex":0},"schema":"https://github.com/citation-style-language/schema/raw/master/csl-citation.json"}</w:instrText>
      </w:r>
      <w:r>
        <w:rPr>
          <w:sz w:val="24"/>
          <w:szCs w:val="24"/>
        </w:rPr>
        <w:fldChar w:fldCharType="separate"/>
      </w:r>
      <w:r>
        <w:rPr>
          <w:noProof/>
          <w:sz w:val="24"/>
          <w:szCs w:val="24"/>
        </w:rPr>
        <w:t>(Mok et al. 2021)</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Another problem that arises in the world of education in Canada is the occurrence of discrimination against international students. International students, especially those with an Asian background, do not get the same facilities as Canadian students </w:t>
      </w:r>
      <w:r>
        <w:rPr>
          <w:sz w:val="24"/>
          <w:szCs w:val="24"/>
        </w:rPr>
        <w:fldChar w:fldCharType="begin"/>
      </w:r>
      <w:r>
        <w:rPr>
          <w:sz w:val="24"/>
          <w:szCs w:val="24"/>
        </w:rPr>
        <w:instrText>ADDIN CSL_CITATION {"citationItems":[{"id":"ITEM-1","itemData":{"DOI":"10.1177/0020872820940030","ISBN":"0020872820940","ISSN":"14617234","abstract":"The rate at which the coronavirus (aka COVID-19) pandemic is exterminating thousands of people and leaving millions sick has pushed the International Federation of Social Workers to call on scholars to examine the impact of the pandemic on vulnerable populations. One of the most vulnerable population groups ignored by social work research on COVID-19 is international students. Drawing on media sources, academic literature, and the author’s interactions with international students, this essay argues that international students are more vulnerable during this pandemic. The essay contributes to our holistic understanding of how social work can mitigate the impact of the pandemic in general.","author":[{"dropping-particle":"","family":"Firang","given":"David","non-dropping-particle":"","parse-names":false,"suffix":""}],"container-title":"International Social Work","id":"ITEM-1","issue":"6","issued":{"date-parts":[["2020"]]},"page":"820-824","title":"The impact of COVID-19 pandemic on international students in Canada","type":"article-journal","volume":"63"},"uris":["http://www.mendeley.com/documents/?uuid=99efa34e-e31c-435a-8dce-cb0c5d9db7c0"]}],"mendeley":{"formattedCitation":"(Firang 2020)","plainTextFormattedCitation":"(Firang 2020)","previouslyFormattedCitation":"(Firang, 2020)"},"properties":{"noteIndex":0},"schema":"https://github.com/citation-style-language/schema/raw/master/csl-citation.json"}</w:instrText>
      </w:r>
      <w:r>
        <w:rPr>
          <w:sz w:val="24"/>
          <w:szCs w:val="24"/>
        </w:rPr>
        <w:fldChar w:fldCharType="separate"/>
      </w:r>
      <w:r>
        <w:rPr>
          <w:noProof/>
          <w:sz w:val="24"/>
          <w:szCs w:val="24"/>
        </w:rPr>
        <w:t>(Firang 2020)</w:t>
      </w:r>
      <w:r>
        <w:rPr>
          <w:sz w:val="24"/>
          <w:szCs w:val="24"/>
        </w:rPr>
        <w:fldChar w:fldCharType="end"/>
      </w:r>
      <w:r>
        <w:rPr>
          <w:sz w:val="24"/>
          <w:szCs w:val="24"/>
        </w:rPr>
        <w:t xml:space="preserve">. </w:t>
      </w:r>
      <w:r>
        <w:rPr>
          <w:sz w:val="24"/>
          <w:szCs w:val="24"/>
        </w:rPr>
        <w:t xml:space="preserve">The implementation of educational regulations during the pandemic is still contradictory, such as </w:t>
      </w:r>
      <w:r>
        <w:rPr>
          <w:sz w:val="24"/>
          <w:szCs w:val="24"/>
        </w:rPr>
        <w:t>using</w:t>
      </w:r>
      <w:r>
        <w:rPr>
          <w:sz w:val="24"/>
          <w:szCs w:val="24"/>
        </w:rPr>
        <w:t xml:space="preserve"> face-to-face learning standards in online learning </w:t>
      </w:r>
      <w:r>
        <w:rPr>
          <w:sz w:val="24"/>
          <w:szCs w:val="24"/>
        </w:rPr>
        <w:fldChar w:fldCharType="begin"/>
      </w:r>
      <w:r>
        <w:rPr>
          <w:sz w:val="24"/>
          <w:szCs w:val="24"/>
        </w:rPr>
        <w:instrText>ADDIN CSL_CITATION {"citationItems":[{"id":"ITEM-1","itemData":{"DOI":"10.1080/03634523.2020.1804602","ISSN":"14795795","abstract":"As schools began the frantic switch to fully remote education while the COVID-19 pandemic escalated in the United States, the Facebook group Pandemic Pedagogy rapidly became a worldwide interdisciplinary hub for navigating online instruction. Autoethnographic reflection on the development of that group leads to analysis of key issues emerging from discourse among the members. Critical examination of the home as a learning environment and concerns about synchronous online learning suggest broader systemic inequities that affect online education. Two areas of crisis rise to prominence: digital divides based on disparities in access, skill, and technological features; and the reassertion of neoliberal approaches to education. Original poems within this essay immerse readers in the tensions and disruptions that infuse education during the pandemic. The traumas inflicted by the pandemic can stimulate more vigorous practice of communal, care-based, collaborative resilience through reimagining the nature and purpose of communication instruction.","author":[{"dropping-particle":"","family":"Schwartzman","given":"Roy","non-dropping-particle":"","parse-names":false,"suffix":""}],"container-title":"Communication Education","id":"ITEM-1","issued":{"date-parts":[["2020"]]},"title":"Performing pandemic pedagogy","type":"article-journal"},"uris":["http://www.mendeley.com/documents/?uuid=781463f7-39e9-46ee-97fb-f52465085aee","http://www.mendeley.com/documents/?uuid=fa39fa38-4d02-4789-a3d6-df3f0197a37d"]}],"mendeley":{"formattedCitation":"(Schwartzman 2020)","plainTextFormattedCitation":"(Schwartzman 2020)","previouslyFormattedCitation":"(Schwartzman, 2020)"},"properties":{"noteIndex":0},"schema":"https://github.com/citation-style-language/schema/raw/master/csl-citation.json"}</w:instrText>
      </w:r>
      <w:r>
        <w:rPr>
          <w:sz w:val="24"/>
          <w:szCs w:val="24"/>
        </w:rPr>
        <w:fldChar w:fldCharType="separate"/>
      </w:r>
      <w:r>
        <w:rPr>
          <w:noProof/>
          <w:sz w:val="24"/>
          <w:szCs w:val="24"/>
        </w:rPr>
        <w:t>(Schwartzman 2020)</w:t>
      </w:r>
      <w:r>
        <w:rPr>
          <w:sz w:val="24"/>
          <w:szCs w:val="24"/>
        </w:rPr>
        <w:fldChar w:fldCharType="end"/>
      </w:r>
      <w:r>
        <w:rPr>
          <w:sz w:val="24"/>
          <w:szCs w:val="24"/>
        </w:rPr>
        <w:t xml:space="preserve">. </w:t>
      </w:r>
      <w:r>
        <w:rPr>
          <w:sz w:val="24"/>
          <w:szCs w:val="24"/>
        </w:rPr>
        <w:t xml:space="preserve">From the various cases that have arisen as a result of the pandemic in the world of education, it is clear that there is a need for evaluation and improvement of policies to build </w:t>
      </w:r>
      <w:r>
        <w:rPr>
          <w:sz w:val="24"/>
          <w:szCs w:val="24"/>
        </w:rPr>
        <w:t xml:space="preserve">an </w:t>
      </w:r>
      <w:r>
        <w:rPr>
          <w:sz w:val="24"/>
          <w:szCs w:val="24"/>
        </w:rPr>
        <w:t xml:space="preserve">education that is adaptive to the pandemic </w:t>
      </w:r>
      <w:r>
        <w:rPr>
          <w:sz w:val="24"/>
          <w:szCs w:val="24"/>
        </w:rPr>
        <w:fldChar w:fldCharType="begin"/>
      </w:r>
      <w:r>
        <w:rPr>
          <w:sz w:val="24"/>
          <w:szCs w:val="24"/>
        </w:rPr>
        <w:instrText>ADDIN CSL_CITATION {"citationItems":[{"id":"ITEM-1","itemData":{"DOI":"10.1108/JPCC-06-2020-0033","ISSN":"20569556","abstract":"Purpose: This paper explores the role of professional collaboration and agency during the global COVID-19 pandemic and possible lessons for the future from the perspective of a teacher, leader and postgraduate researcher. Design/methodology/approach: This essay explores the complex role of collaboration and agency in responding to the challenges arising during the global COVID-19 pandemic utilizing research as well as the author's lived experience. Findings: The author finds that through a renewed emphasis on effective professional collaboration and agency, not only are there opportunities to embed lessons learned during the COVID-19 pandemic, there is also scope to work towards education systems that reflect the complex global socio-political contexts communities may find themselves in and the evolving needs that result from them. Originality/value: This paper offers insights into the work of teachers and school leaders, the increasing complexity of their roles over time, and particularly during the COVID-19 pandemic, considering what this might mean for the future.","author":[{"dropping-particle":"","family":"Campbell","given":"Paul","non-dropping-particle":"","parse-names":false,"suffix":""}],"container-title":"Journal of Professional Capital and Community","id":"ITEM-1","issued":{"date-parts":[["2020"]]},"title":"Rethinking professional collaboration and agency in a post-pandemic era","type":"article-journal"},"uris":["http://www.mendeley.com/documents/?uuid=e0f6d579-31a7-40a7-bc23-348b1ea3830e","http://www.mendeley.com/documents/?uuid=4ccab980-2766-4413-967b-db4e697ee261"]}],"mendeley":{"formattedCitation":"(Campbell 2020)","plainTextFormattedCitation":"(Campbell 2020)","previouslyFormattedCitation":"(Campbell, 2020)"},"properties":{"noteIndex":0},"schema":"https://github.com/citation-style-language/schema/raw/master/csl-citation.json"}</w:instrText>
      </w:r>
      <w:r>
        <w:rPr>
          <w:sz w:val="24"/>
          <w:szCs w:val="24"/>
        </w:rPr>
        <w:fldChar w:fldCharType="separate"/>
      </w:r>
      <w:r>
        <w:rPr>
          <w:noProof/>
          <w:sz w:val="24"/>
          <w:szCs w:val="24"/>
        </w:rPr>
        <w:t>(Campbell 2020)</w:t>
      </w:r>
      <w:r>
        <w:rPr>
          <w:sz w:val="24"/>
          <w:szCs w:val="24"/>
        </w:rPr>
        <w:fldChar w:fldCharType="end"/>
      </w:r>
      <w:r>
        <w:rPr>
          <w:sz w:val="24"/>
          <w:szCs w:val="24"/>
        </w:rPr>
        <w:t>.</w:t>
      </w:r>
    </w:p>
    <w:p>
      <w:pPr>
        <w:pStyle w:val="style0"/>
        <w:spacing w:lineRule="auto" w:line="360"/>
        <w:jc w:val="both"/>
        <w:rPr>
          <w:b/>
          <w:bCs/>
          <w:sz w:val="24"/>
          <w:szCs w:val="24"/>
        </w:rPr>
      </w:pPr>
    </w:p>
    <w:p>
      <w:pPr>
        <w:pStyle w:val="style0"/>
        <w:spacing w:lineRule="auto" w:line="360"/>
        <w:jc w:val="both"/>
        <w:rPr>
          <w:b/>
          <w:bCs/>
          <w:sz w:val="24"/>
          <w:szCs w:val="24"/>
        </w:rPr>
      </w:pPr>
      <w:r>
        <w:rPr>
          <w:b/>
          <w:bCs/>
          <w:sz w:val="24"/>
          <w:szCs w:val="24"/>
        </w:rPr>
        <w:t xml:space="preserve">2.3. </w:t>
      </w:r>
      <w:r>
        <w:rPr>
          <w:b/>
          <w:bCs/>
          <w:sz w:val="24"/>
          <w:szCs w:val="24"/>
        </w:rPr>
        <w:t>Online Learning and Reproduction of Class Inequality</w:t>
      </w:r>
    </w:p>
    <w:p>
      <w:pPr>
        <w:pStyle w:val="style0"/>
        <w:spacing w:lineRule="auto" w:line="360"/>
        <w:ind w:firstLine="720"/>
        <w:jc w:val="both"/>
        <w:rPr>
          <w:sz w:val="24"/>
          <w:szCs w:val="24"/>
        </w:rPr>
      </w:pPr>
      <w:r>
        <w:rPr>
          <w:sz w:val="24"/>
          <w:szCs w:val="24"/>
        </w:rPr>
        <w:t xml:space="preserve">Online education during the COVID-19 pandemic has emphasized class inequalities in society. Access to and mastery of different technologies has explained the differences in learning outcomes. The decline in income since the pandemic has created a digital divide among students in access to computers, the internet, and tablets </w:t>
      </w:r>
      <w:r>
        <w:rPr>
          <w:sz w:val="24"/>
          <w:szCs w:val="24"/>
        </w:rPr>
        <w:t xml:space="preserve"> </w:t>
      </w:r>
      <w:r>
        <w:rPr>
          <w:sz w:val="24"/>
          <w:szCs w:val="24"/>
        </w:rPr>
        <w:fldChar w:fldCharType="begin"/>
      </w:r>
      <w:r>
        <w:rPr>
          <w:sz w:val="24"/>
          <w:szCs w:val="24"/>
        </w:rPr>
        <w:instrText>ADDIN CSL_CITATION {"citationItems":[{"id":"ITEM-1","itemData":{"DOI":"10.3145/epi.2020.jul.03","ISSN":"16992407","abstract":"In December 2019, Chinese authorities informed the World Health Organization about a new coronavirus disease that would come to be called Covid-19. The world media began reporting on this new virus and its consequences. However, reports about Covid-19 would not appear in the European and American media until their societies became aware of both the health and economic consequences of Covid-19 in March 2020. This article analyzes the online media coverage of economic inequality. The goal is to understand the formation of the public agenda, based on the impact of the disease on social classes as the main factor generating greater inequality levels, in particular inequality of opportunities as the most remarkable topic during the first stage of the pandemic. According to the first results of this content analysis, the social class divide will be deepened by the pandemic. For this study, a tool was designed to analyze both the manifest and latent content of the items. Using content analysis, an analysis of news published by 33 digital media in both Europe and Latin America from March 14 to April 14, 2020 was conducted. The results of this study show that income inequality appears as the core variable of the problem, although social classes remain important. The imbalanced access to health and education public services also receives continuous coverage in the media. However, poverty as a consequence of this situation remains an uncomfortable issue and tends to be presented in an undramatized way.","author":[{"dropping-particle":"","family":"Odriozola-Chéné","given":"Javier","non-dropping-particle":"","parse-names":false,"suffix":""},{"dropping-particle":"","family":"Díaz-Noci","given":"Javier","non-dropping-particle":"","parse-names":false,"suffix":""},{"dropping-particle":"","family":"Serrano-Tellería","given":"Ana","non-dropping-particle":"","parse-names":false,"suffix":""},{"dropping-particle":"","family":"Pérezarozamena","given":"Rosa","non-dropping-particle":"","parse-names":false,"suffix":""},{"dropping-particle":"","family":"Pérez-Altable","given":"Laura","non-dropping-particle":"","parse-names":false,"suffix":""},{"dropping-particle":"","family":"Linares-Lanzman","given":"Juan","non-dropping-particle":"","parse-names":false,"suffix":""},{"dropping-particle":"","family":"García-Carretero","given":"Lucía","non-dropping-particle":"","parse-names":false,"suffix":""},{"dropping-particle":"","family":"Calvo-Rubio","given":"Luis Mauricio","non-dropping-particle":"","parse-names":false,"suffix":""},{"dropping-particle":"","family":"Torres-Mendoza","given":"Manuel","non-dropping-particle":"","parse-names":false,"suffix":""},{"dropping-particle":"","family":"Antón-Bravo","given":"Adolfo","non-dropping-particle":"","parse-names":false,"suffix":""}],"container-title":"Profesional de la Informacion","id":"ITEM-1","issued":{"date-parts":[["2020"]]},"title":"Inequality in times of pandemics: How online media are starting to treat the economic consequences of the coronavirus crisis","type":"article-journal"},"uris":["http://www.mendeley.com/documents/?uuid=e6306ecd-35ad-4099-b86c-502700a3b26d","http://www.mendeley.com/documents/?uuid=e9d68ddc-46f6-4c59-8224-28c566d724a1"]}],"mendeley":{"formattedCitation":"(Odriozola-Chéné &lt;i&gt;et al.&lt;/i&gt;, 2020)","manualFormatting":"(Odriozola-Chéné et al., 2020","plainTextFormattedCitation":"(Odriozola-Chéné et al., 2020)","previouslyFormattedCitation":"(Odriozola-Chéné &lt;i&gt;et al.&lt;/i&gt;, 2020)"},"properties":{"noteIndex":0},"schema":"https://github.com/citation-style-language/schema/raw/master/csl-citation.json"}</w:instrText>
      </w:r>
      <w:r>
        <w:rPr>
          <w:sz w:val="24"/>
          <w:szCs w:val="24"/>
        </w:rPr>
        <w:fldChar w:fldCharType="separate"/>
      </w:r>
      <w:r>
        <w:rPr>
          <w:noProof/>
          <w:sz w:val="24"/>
          <w:szCs w:val="24"/>
        </w:rPr>
        <w:t>(Odriozola-Chéné et al., 2020</w:t>
      </w:r>
      <w:r>
        <w:rPr>
          <w:sz w:val="24"/>
          <w:szCs w:val="24"/>
        </w:rPr>
        <w:fldChar w:fldCharType="end"/>
      </w:r>
      <w:r>
        <w:rPr>
          <w:sz w:val="24"/>
          <w:szCs w:val="24"/>
        </w:rPr>
        <w:t xml:space="preserve">). </w:t>
      </w:r>
      <w:r>
        <w:rPr>
          <w:sz w:val="24"/>
          <w:szCs w:val="24"/>
        </w:rPr>
        <w:t xml:space="preserve">Inequality of access that causes uneven </w:t>
      </w:r>
      <w:r>
        <w:rPr>
          <w:sz w:val="24"/>
          <w:szCs w:val="24"/>
        </w:rPr>
        <w:t>internet use</w:t>
      </w:r>
      <w:r>
        <w:rPr>
          <w:sz w:val="24"/>
          <w:szCs w:val="24"/>
        </w:rPr>
        <w:t xml:space="preserve"> in online learning causes online learning to have no positive impact </w:t>
      </w:r>
      <w:r>
        <w:rPr>
          <w:sz w:val="24"/>
          <w:szCs w:val="24"/>
        </w:rPr>
        <w:fldChar w:fldCharType="begin"/>
      </w:r>
      <w:r>
        <w:rPr>
          <w:sz w:val="24"/>
          <w:szCs w:val="24"/>
        </w:rPr>
        <w:instrText>ADDIN CSL_CITATION {"citationItems":[{"id":"ITEM-1","itemData":{"DOI":"10.2196/20073","ISSN":"14388871","PMID":"32750005","abstract":"Background: The World Health Organization considers coronavirus disease (COVID-19) to be a public emergency threatening global health. During the crisis, the public's need for web-based information and communication is a subject of focus. Digital inequality research has shown that internet access is not evenly distributed among the general population. Objective: The aim of this study was to provide a timely understanding of how different people use the internet to meet their information and communication needs and the outcomes they gain from their internet use in relation to the COVID-19 pandemic. We also sought to reveal the extent to which gender, age, personality, health, literacy, education, economic and social resources, internet attitude, material access, internet access, and internet skills remain important factors in obtaining internet outcomes after people engage in the corresponding uses. Methods: We used a web-based survey to draw upon a sample collected in the Netherlands. We obtained a dataset with 1733 respondents older than 18 years. Results: Men are more likely to engage in COVID-19-related communication uses. Age is positively related to COVID-19-related information uses and negatively related to information and communication outcomes. Agreeableness is negatively related to both outcomes and to information uses. Neuroticism is positively related to both uses and to communication outcomes. Conscientiousness is not related to any of the uses or outcomes. Introversion is negatively related to communication outcomes. Finally, openness relates positively to all information uses and to both outcomes. Physical health has negative relationships with both outcomes. Health perception contributes positively to information uses and both outcomes. Traditional literacy has a positive relationship with information uses and both outcomes. Education has a positive relationship with information and communication uses. Economic and social resources played no roles. Internet attitude is positively related to information uses and outcomes but negatively related to communication uses and outcomes. Material access and internet access contributed to all uses and outcomes. Finally, several of the indicators and outcomes became insignificant after accounting for engagement in internet uses. Conclusions: Digital inequality is a major concern among national and international scholars and policy makers. This contribution aimed to provide a broader understanding in …","author":[{"dropping-particle":"","family":"Deursen","given":"Alexander J.A.M.","non-dropping-particle":"van","parse-names":false,"suffix":""}],"container-title":"Journal of Medical Internet Research","id":"ITEM-1","issued":{"date-parts":[["2020"]]},"title":"Digital inequality during a pandemic: Quantitative study of differences in COVID-19-related internet uses and outcomes among the general population","type":"article-journal"},"uris":["http://www.mendeley.com/documents/?uuid=cac8a630-6c8f-47ce-8a7a-0e167afbc272","http://www.mendeley.com/documents/?uuid=0260eedf-4c91-4722-a5b1-14299c4a11b7"]}],"mendeley":{"formattedCitation":"(van Deursen, 2020)","plainTextFormattedCitation":"(van Deursen, 2020)","previouslyFormattedCitation":"(van Deursen, 2020)"},"properties":{"noteIndex":0},"schema":"https://github.com/citation-style-language/schema/raw/master/csl-citation.json"}</w:instrText>
      </w:r>
      <w:r>
        <w:rPr>
          <w:sz w:val="24"/>
          <w:szCs w:val="24"/>
        </w:rPr>
        <w:fldChar w:fldCharType="separate"/>
      </w:r>
      <w:r>
        <w:rPr>
          <w:noProof/>
          <w:sz w:val="24"/>
          <w:szCs w:val="24"/>
        </w:rPr>
        <w:t>(van Deursen, 2020)</w:t>
      </w:r>
      <w:r>
        <w:rPr>
          <w:sz w:val="24"/>
          <w:szCs w:val="24"/>
        </w:rPr>
        <w:fldChar w:fldCharType="end"/>
      </w:r>
      <w:r>
        <w:rPr>
          <w:sz w:val="24"/>
          <w:szCs w:val="24"/>
        </w:rPr>
        <w:t>.</w:t>
      </w:r>
      <w:r>
        <w:t xml:space="preserve"> </w:t>
      </w:r>
      <w:r>
        <w:rPr>
          <w:sz w:val="24"/>
          <w:szCs w:val="24"/>
        </w:rPr>
        <w:t xml:space="preserve">Expanding access to computers and the internet for rural communities is </w:t>
      </w:r>
      <w:r>
        <w:rPr>
          <w:sz w:val="24"/>
          <w:szCs w:val="24"/>
        </w:rPr>
        <w:t>urgent</w:t>
      </w:r>
      <w:r>
        <w:rPr>
          <w:sz w:val="24"/>
          <w:szCs w:val="24"/>
        </w:rPr>
        <w:t xml:space="preserve"> to address inequality</w:t>
      </w:r>
      <w:r>
        <w:rPr>
          <w:sz w:val="24"/>
          <w:szCs w:val="24"/>
        </w:rPr>
        <w:t xml:space="preserve"> </w:t>
      </w:r>
      <w:r>
        <w:rPr>
          <w:sz w:val="24"/>
          <w:szCs w:val="24"/>
        </w:rPr>
        <w:fldChar w:fldCharType="begin"/>
      </w:r>
      <w:r>
        <w:rPr>
          <w:sz w:val="24"/>
          <w:szCs w:val="24"/>
        </w:rPr>
        <w:instrText>ADDIN CSL_CITATION {"citationItems":[{"id":"ITEM-1","itemData":{"DOI":"10.1016/j.jpubeco.2020.104345","ISSN":"00472727","abstract":"We use high frequency internet search data to study in real time how US households sought out online learning resources as schools closed due to the Covid-19 pandemic. By April 2020, nationwide search intensity for both school- and parent-centered online learning resources had roughly doubled relative to pre-Covid levels. Areas of the country with higher income, better internet access and fewer rural schools saw substantially larger increases in search intensity. The pandemic will likely widen achievement gaps along these dimensions given schools’ and parents’ differing engagement with online resources to compensate for lost school-based learning time. Accounting for such differences and promoting more equitable access to online learning could improve the effectiveness of education policy responses to the pandemic. The public availability of internet search data allows our analyses to be updated when schools reopen and to be replicated in other countries.","author":[{"dropping-particle":"","family":"Bacher-Hicks","given":"Andrew","non-dropping-particle":"","parse-names":false,"suffix":""},{"dropping-particle":"","family":"Goodman","given":"Joshua","non-dropping-particle":"","parse-names":false,"suffix":""},{"dropping-particle":"","family":"Mulhern","given":"Christine","non-dropping-particle":"","parse-names":false,"suffix":""}],"container-title":"Journal of Public Economics","id":"ITEM-1","issued":{"date-parts":[["2021"]]},"title":"Inequality in household adaptation to schooling shocks: Covid-induced online learning engagement in real time","type":"article-journal"},"uris":["http://www.mendeley.com/documents/?uuid=6d0a1976-e511-4c6a-8dce-9664369f9b2c","http://www.mendeley.com/documents/?uuid=78088ec4-2992-4b4c-99ae-b1c87ecbc598"]}],"mendeley":{"formattedCitation":"(Bacher-Hicks, Goodman and Mulhern, 2021)","manualFormatting":"(Bacher-Hicks et al., 2021","plainTextFormattedCitation":"(Bacher-Hicks, Goodman and Mulhern, 2021)","previouslyFormattedCitation":"(Bacher-Hicks, Goodman and Mulhern, 2021)"},"properties":{"noteIndex":0},"schema":"https://github.com/citation-style-language/schema/raw/master/csl-citation.json"}</w:instrText>
      </w:r>
      <w:r>
        <w:rPr>
          <w:sz w:val="24"/>
          <w:szCs w:val="24"/>
        </w:rPr>
        <w:fldChar w:fldCharType="separate"/>
      </w:r>
      <w:r>
        <w:rPr>
          <w:noProof/>
          <w:sz w:val="24"/>
          <w:szCs w:val="24"/>
        </w:rPr>
        <w:t>(Bacher-Hicks et al., 2021</w:t>
      </w:r>
      <w:r>
        <w:rPr>
          <w:sz w:val="24"/>
          <w:szCs w:val="24"/>
        </w:rPr>
        <w:fldChar w:fldCharType="end"/>
      </w:r>
      <w:r>
        <w:rPr>
          <w:sz w:val="24"/>
          <w:szCs w:val="24"/>
        </w:rPr>
        <w:t xml:space="preserve">). </w:t>
      </w:r>
      <w:r>
        <w:rPr>
          <w:sz w:val="24"/>
          <w:szCs w:val="24"/>
        </w:rPr>
        <w:t>A</w:t>
      </w:r>
      <w:r>
        <w:rPr>
          <w:sz w:val="24"/>
          <w:szCs w:val="24"/>
        </w:rPr>
        <w:t xml:space="preserve">ccording </w:t>
      </w:r>
      <w:r>
        <w:rPr>
          <w:sz w:val="24"/>
          <w:szCs w:val="24"/>
        </w:rPr>
        <w:t>to</w:t>
      </w:r>
      <w:r>
        <w:rPr>
          <w:sz w:val="24"/>
          <w:szCs w:val="24"/>
        </w:rPr>
        <w:t xml:space="preserve"> </w:t>
      </w:r>
      <w:r>
        <w:rPr>
          <w:sz w:val="24"/>
          <w:szCs w:val="24"/>
        </w:rPr>
        <w:t xml:space="preserve"> (</w:t>
      </w:r>
      <w:r>
        <w:rPr>
          <w:sz w:val="24"/>
          <w:szCs w:val="24"/>
        </w:rPr>
        <w:t>2020),</w:t>
      </w:r>
      <w:r>
        <w:rPr>
          <w:sz w:val="24"/>
          <w:szCs w:val="24"/>
        </w:rPr>
        <w:t xml:space="preserve"> the relationship between socioeconomic status and type of school can validate Bourdieu's theory of the social reproduction of digital inequality. Differences in internet access and technological devices in the implementation of online learning are directly proportional to the socio-economic stratification that exists in society </w:t>
      </w:r>
      <w:r>
        <w:rPr>
          <w:sz w:val="24"/>
          <w:szCs w:val="24"/>
        </w:rPr>
        <w:fldChar w:fldCharType="begin"/>
      </w:r>
      <w:r>
        <w:rPr>
          <w:sz w:val="24"/>
          <w:szCs w:val="24"/>
        </w:rPr>
        <w:instrText>ADDIN CSL_CITATION {"citationItems":[{"id":"ITEM-1","itemData":{"DOI":"10.1108/ILS-04-2020-0114","ISSN":"23985348","abstract":"Purpose: Many teachers and students in the USA and various parts of the world are migrating some aspects of education online out of necessity. The purpose of this paper is to identify and describe strategies of the self-regulated learning (SRL) framework for K-12 students learning in online environments to support remote learning with online and digital tools during the COVID-19 pandemic. Design/methodology/approach: The SRL framework (Zimmerman, 2008) has been used consistently to support students in learning to work independently. This framework highlights three phases: planning, performing and evaluating. Previous research in K-12 online learning has yielded specific strategies that are useful. The paper identified and described the strategies to an audience seeking answers on how to meet the needs of students in online learning environment. Findings: The main types of strategies that have emerged from previous studies include asking students to consider how they learn online, providing pacing support, monitoring engagement and supporting families. Originality/value: Although the social crisis of COVID-19 is unique, prior research in online learning may be useful for supporting teacher practice and suggesting future research. Developing SRL skills of students will ensure the effectiveness of online learning that the field of education may ultimately focus on in the future.","author":[{"dropping-particle":"","family":"Carter","given":"Richard Allen","non-dropping-particle":"","parse-names":false,"suffix":""},{"dropping-particle":"","family":"Rice","given":"Mary","non-dropping-particle":"","parse-names":false,"suffix":""},{"dropping-particle":"","family":"Yang","given":"Sohyun","non-dropping-particle":"","parse-names":false,"suffix":""},{"dropping-particle":"","family":"Jackson","given":"Haidee A.","non-dropping-particle":"","parse-names":false,"suffix":""}],"container-title":"Information and Learning Science","id":"ITEM-1","issued":{"date-parts":[["2020"]]},"title":"Self-regulated learning in online learning environments: strategies for remote learning","type":"article-journal"},"uris":["http://www.mendeley.com/documents/?uuid=caad5d64-25e1-4478-b56a-d1d6724b3cab","http://www.mendeley.com/documents/?uuid=fba20424-a297-4340-ad61-b4ec513c5f6f"]}],"mendeley":{"formattedCitation":"(Carter &lt;i&gt;et al.&lt;/i&gt;, 2020)","manualFormatting":"(Carter et al., 2020","plainTextFormattedCitation":"(Carter et al., 2020)","previouslyFormattedCitation":"(Carter &lt;i&gt;et al.&lt;/i&gt;, 2020)"},"properties":{"noteIndex":0},"schema":"https://github.com/citation-style-language/schema/raw/master/csl-citation.json"}</w:instrText>
      </w:r>
      <w:r>
        <w:rPr>
          <w:sz w:val="24"/>
          <w:szCs w:val="24"/>
        </w:rPr>
        <w:fldChar w:fldCharType="separate"/>
      </w:r>
      <w:r>
        <w:rPr>
          <w:noProof/>
          <w:sz w:val="24"/>
          <w:szCs w:val="24"/>
        </w:rPr>
        <w:t>(Carter et al., 2020</w:t>
      </w:r>
      <w:r>
        <w:rPr>
          <w:sz w:val="24"/>
          <w:szCs w:val="24"/>
        </w:rPr>
        <w:fldChar w:fldCharType="end"/>
      </w:r>
      <w:r>
        <w:rPr>
          <w:sz w:val="24"/>
          <w:szCs w:val="24"/>
        </w:rPr>
        <w:t>).</w:t>
      </w:r>
    </w:p>
    <w:p>
      <w:pPr>
        <w:pStyle w:val="style0"/>
        <w:spacing w:lineRule="auto" w:line="360"/>
        <w:ind w:firstLine="720"/>
        <w:jc w:val="both"/>
        <w:rPr>
          <w:sz w:val="24"/>
          <w:szCs w:val="24"/>
        </w:rPr>
      </w:pPr>
      <w:r>
        <w:rPr>
          <w:sz w:val="24"/>
          <w:szCs w:val="24"/>
        </w:rPr>
        <w:t xml:space="preserve">Class differences, apart from creating inequality in access and participation in learning, have also become the basis for unequal learning outcomes for children </w:t>
      </w:r>
      <w:r>
        <w:rPr>
          <w:sz w:val="24"/>
          <w:szCs w:val="24"/>
        </w:rPr>
        <w:fldChar w:fldCharType="begin"/>
      </w:r>
      <w:r>
        <w:rPr>
          <w:sz w:val="24"/>
          <w:szCs w:val="24"/>
        </w:rPr>
        <w:instrText>ADDIN CSL_CITATION {"citationItems":[{"id":"ITEM-1","itemData":{"DOI":"10.1016/j.childyouth.2020.105387","ISSN":"01907409","abstract":"This study utilizes the 2012–2016 CFPS dataset and employs the structural equation modelling techniques to illustrate the mediating effects of parental practices and children's learning attitudes between family social economic status (SES) and the child educational outcomes. Firstly, the results show that relative to family income and parental occupational levels, the key variable significantly links with children's education as measured by children's Chinese and math scores is parental educational levels. Parental education also bridges the gap in possible disparities in child outcomes arising from differences in region and Hukou. Secondly, the findings demonstrate the significant association between two mediators and child educational outcomes. It shows the importance of improving parenting practices and children's learning attitudes for child development. Relevant policies or programs can be established to narrow the educational disparities among children between the lower and higher SES families. The findings are positive in that educational disparities can be narrowed and the vicious cycle of cultural reproduction can be broken.","author":[{"dropping-particle":"","family":"Qi","given":"Di","non-dropping-particle":"","parse-names":false,"suffix":""},{"dropping-particle":"","family":"Wu","given":"Yichao","non-dropping-particle":"","parse-names":false,"suffix":""}],"container-title":"Children and Youth Services Review","id":"ITEM-1","issued":{"date-parts":[["2020"]]},"title":"Family's social economic status and child educational outcomes in China: The mediating effects of parenting practices and children's learning attitudes","type":"article-journal"},"uris":["http://www.mendeley.com/documents/?uuid=4d2c463b-f8b9-4a69-b991-6cbaf61434f4","http://www.mendeley.com/documents/?uuid=7bd1ade8-7fa4-4164-bced-e07bbb9ac123"]}],"mendeley":{"formattedCitation":"(Qi and Wu, 2020)","plainTextFormattedCitation":"(Qi and Wu, 2020)","previouslyFormattedCitation":"(Qi and Wu, 2020)"},"properties":{"noteIndex":0},"schema":"https://github.com/citation-style-language/schema/raw/master/csl-citation.json"}</w:instrText>
      </w:r>
      <w:r>
        <w:rPr>
          <w:sz w:val="24"/>
          <w:szCs w:val="24"/>
        </w:rPr>
        <w:fldChar w:fldCharType="separate"/>
      </w:r>
      <w:r>
        <w:rPr>
          <w:noProof/>
          <w:sz w:val="24"/>
          <w:szCs w:val="24"/>
        </w:rPr>
        <w:t>(Qi and Wu, 2020)</w:t>
      </w:r>
      <w:r>
        <w:rPr>
          <w:sz w:val="24"/>
          <w:szCs w:val="24"/>
        </w:rPr>
        <w:fldChar w:fldCharType="end"/>
      </w:r>
      <w:r>
        <w:rPr>
          <w:sz w:val="24"/>
          <w:szCs w:val="24"/>
        </w:rPr>
        <w:t xml:space="preserve">. </w:t>
      </w:r>
      <w:r>
        <w:rPr>
          <w:sz w:val="24"/>
          <w:szCs w:val="24"/>
        </w:rPr>
        <w:t xml:space="preserve">The learning outcomes of children from groups with limited access are different from those from groups with broad access to technology </w:t>
      </w:r>
      <w:r>
        <w:rPr>
          <w:sz w:val="24"/>
          <w:szCs w:val="24"/>
        </w:rPr>
        <w:fldChar w:fldCharType="begin"/>
      </w:r>
      <w:r>
        <w:rPr>
          <w:sz w:val="24"/>
          <w:szCs w:val="24"/>
        </w:rPr>
        <w:instrText>ADDIN CSL_CITATION {"citationItems":[{"id":"ITEM-1","itemData":{"DOI":"10.1016/j.heliyon.2020.e04470","ISSN":"24058440","abstract":"Education; Ethnography; Marginalization; Poverty; San community.","author":[{"dropping-particle":"","family":"Phiri","given":"Keith","non-dropping-particle":"","parse-names":false,"suffix":""},{"dropping-particle":"","family":"Ndlovu","given":"Sibonokuhle","non-dropping-particle":"","parse-names":false,"suffix":""},{"dropping-particle":"","family":"Dube","given":"Thulani","non-dropping-particle":"","parse-names":false,"suffix":""},{"dropping-particle":"","family":"Nyathi","given":"Douglas","non-dropping-particle":"","parse-names":false,"suffix":""},{"dropping-particle":"","family":"Ncube","given":"Cornelias","non-dropping-particle":"","parse-names":false,"suffix":""},{"dropping-particle":"","family":"Tshuma","given":"Nhlalo","non-dropping-particle":"","parse-names":false,"suffix":""}],"container-title":"Heliyon","id":"ITEM-1","issued":{"date-parts":[["2020"]]},"title":"Access to formal education for the San community in Tsholotsho, Zimbabwe: challenges and prospects","type":"article-journal"},"uris":["http://www.mendeley.com/documents/?uuid=3f2f4b5d-8869-48c2-aaa1-5168e483584c","http://www.mendeley.com/documents/?uuid=91eb9b91-6c44-419f-93b9-ab3db9a696c0"]}],"mendeley":{"formattedCitation":"(Phiri &lt;i&gt;et al.&lt;/i&gt;, 2020)","plainTextFormattedCitation":"(Phiri et al., 2020)","previouslyFormattedCitation":"(Phiri &lt;i&gt;et al.&lt;/i&gt;, 2020)"},"properties":{"noteIndex":0},"schema":"https://github.com/citation-style-language/schema/raw/master/csl-citation.json"}</w:instrText>
      </w:r>
      <w:r>
        <w:rPr>
          <w:sz w:val="24"/>
          <w:szCs w:val="24"/>
        </w:rPr>
        <w:fldChar w:fldCharType="separate"/>
      </w:r>
      <w:r>
        <w:rPr>
          <w:noProof/>
          <w:sz w:val="24"/>
          <w:szCs w:val="24"/>
        </w:rPr>
        <w:t xml:space="preserve">(Phiri </w:t>
      </w:r>
      <w:r>
        <w:rPr>
          <w:i/>
          <w:noProof/>
          <w:sz w:val="24"/>
          <w:szCs w:val="24"/>
        </w:rPr>
        <w:t>et al.</w:t>
      </w:r>
      <w:r>
        <w:rPr>
          <w:noProof/>
          <w:sz w:val="24"/>
          <w:szCs w:val="24"/>
        </w:rPr>
        <w:t>, 2020)</w:t>
      </w:r>
      <w:r>
        <w:rPr>
          <w:sz w:val="24"/>
          <w:szCs w:val="24"/>
        </w:rPr>
        <w:fldChar w:fldCharType="end"/>
      </w:r>
      <w:r>
        <w:rPr>
          <w:sz w:val="24"/>
          <w:szCs w:val="24"/>
        </w:rPr>
        <w:t xml:space="preserve">. </w:t>
      </w:r>
      <w:r>
        <w:rPr>
          <w:sz w:val="24"/>
          <w:szCs w:val="24"/>
        </w:rPr>
        <w:t>Kelompok</w:t>
      </w:r>
      <w:r>
        <w:rPr>
          <w:sz w:val="24"/>
          <w:szCs w:val="24"/>
        </w:rPr>
        <w:t xml:space="preserve"> </w:t>
      </w:r>
      <w:r>
        <w:rPr>
          <w:sz w:val="24"/>
          <w:szCs w:val="24"/>
        </w:rPr>
        <w:t>masyarakat</w:t>
      </w:r>
      <w:r>
        <w:rPr>
          <w:sz w:val="24"/>
          <w:szCs w:val="24"/>
        </w:rPr>
        <w:t xml:space="preserve"> </w:t>
      </w:r>
      <w:r>
        <w:rPr>
          <w:sz w:val="24"/>
          <w:szCs w:val="24"/>
        </w:rPr>
        <w:t>bawah</w:t>
      </w:r>
      <w:r>
        <w:rPr>
          <w:sz w:val="24"/>
          <w:szCs w:val="24"/>
        </w:rPr>
        <w:t xml:space="preserve"> yang </w:t>
      </w:r>
      <w:r>
        <w:rPr>
          <w:sz w:val="24"/>
          <w:szCs w:val="24"/>
        </w:rPr>
        <w:t>tidak</w:t>
      </w:r>
      <w:r>
        <w:rPr>
          <w:sz w:val="24"/>
          <w:szCs w:val="24"/>
        </w:rPr>
        <w:t xml:space="preserve"> </w:t>
      </w:r>
      <w:r>
        <w:rPr>
          <w:sz w:val="24"/>
          <w:szCs w:val="24"/>
        </w:rPr>
        <w:t>memiliki</w:t>
      </w:r>
      <w:r>
        <w:rPr>
          <w:sz w:val="24"/>
          <w:szCs w:val="24"/>
        </w:rPr>
        <w:t xml:space="preserve"> </w:t>
      </w:r>
      <w:r>
        <w:rPr>
          <w:sz w:val="24"/>
          <w:szCs w:val="24"/>
        </w:rPr>
        <w:t>akses</w:t>
      </w:r>
      <w:r>
        <w:rPr>
          <w:sz w:val="24"/>
          <w:szCs w:val="24"/>
        </w:rPr>
        <w:t xml:space="preserve"> </w:t>
      </w:r>
      <w:r>
        <w:rPr>
          <w:sz w:val="24"/>
          <w:szCs w:val="24"/>
        </w:rPr>
        <w:t>cukup</w:t>
      </w:r>
      <w:r>
        <w:rPr>
          <w:sz w:val="24"/>
          <w:szCs w:val="24"/>
        </w:rPr>
        <w:t xml:space="preserve"> </w:t>
      </w:r>
      <w:r>
        <w:rPr>
          <w:sz w:val="24"/>
          <w:szCs w:val="24"/>
        </w:rPr>
        <w:t>menyebabkan</w:t>
      </w:r>
      <w:r>
        <w:rPr>
          <w:sz w:val="24"/>
          <w:szCs w:val="24"/>
        </w:rPr>
        <w:t xml:space="preserve"> </w:t>
      </w:r>
      <w:r>
        <w:rPr>
          <w:sz w:val="24"/>
          <w:szCs w:val="24"/>
        </w:rPr>
        <w:t>mereka</w:t>
      </w:r>
      <w:r>
        <w:rPr>
          <w:sz w:val="24"/>
          <w:szCs w:val="24"/>
        </w:rPr>
        <w:t xml:space="preserve"> </w:t>
      </w:r>
      <w:r>
        <w:rPr>
          <w:sz w:val="24"/>
          <w:szCs w:val="24"/>
        </w:rPr>
        <w:t>tidak</w:t>
      </w:r>
      <w:r>
        <w:rPr>
          <w:sz w:val="24"/>
          <w:szCs w:val="24"/>
        </w:rPr>
        <w:t xml:space="preserve"> </w:t>
      </w:r>
      <w:r>
        <w:rPr>
          <w:sz w:val="24"/>
          <w:szCs w:val="24"/>
        </w:rPr>
        <w:t>dapat</w:t>
      </w:r>
      <w:r>
        <w:rPr>
          <w:sz w:val="24"/>
          <w:szCs w:val="24"/>
        </w:rPr>
        <w:t xml:space="preserve"> </w:t>
      </w:r>
      <w:r>
        <w:rPr>
          <w:sz w:val="24"/>
          <w:szCs w:val="24"/>
        </w:rPr>
        <w:t>berpartisipasi</w:t>
      </w:r>
      <w:r>
        <w:rPr>
          <w:sz w:val="24"/>
          <w:szCs w:val="24"/>
        </w:rPr>
        <w:t xml:space="preserve"> </w:t>
      </w:r>
      <w:r>
        <w:rPr>
          <w:sz w:val="24"/>
          <w:szCs w:val="24"/>
        </w:rPr>
        <w:t>aktif</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yang </w:t>
      </w:r>
      <w:r>
        <w:rPr>
          <w:sz w:val="24"/>
          <w:szCs w:val="24"/>
        </w:rPr>
        <w:t>berakibat</w:t>
      </w:r>
      <w:r>
        <w:rPr>
          <w:sz w:val="24"/>
          <w:szCs w:val="24"/>
        </w:rPr>
        <w:t xml:space="preserve"> </w:t>
      </w:r>
      <w:r>
        <w:rPr>
          <w:sz w:val="24"/>
          <w:szCs w:val="24"/>
        </w:rPr>
        <w:t>pada</w:t>
      </w:r>
      <w:r>
        <w:rPr>
          <w:sz w:val="24"/>
          <w:szCs w:val="24"/>
        </w:rPr>
        <w:t xml:space="preserve"> </w:t>
      </w:r>
      <w:r>
        <w:rPr>
          <w:sz w:val="24"/>
          <w:szCs w:val="24"/>
        </w:rPr>
        <w:t>rendahnya</w:t>
      </w:r>
      <w:r>
        <w:rPr>
          <w:sz w:val="24"/>
          <w:szCs w:val="24"/>
        </w:rPr>
        <w:t xml:space="preserve"> </w:t>
      </w:r>
      <w:r>
        <w:rPr>
          <w:sz w:val="24"/>
          <w:szCs w:val="24"/>
        </w:rPr>
        <w:t>hasil</w:t>
      </w:r>
      <w:r>
        <w:rPr>
          <w:sz w:val="24"/>
          <w:szCs w:val="24"/>
        </w:rPr>
        <w:t xml:space="preserve"> </w:t>
      </w:r>
      <w:r>
        <w:rPr>
          <w:sz w:val="24"/>
          <w:szCs w:val="24"/>
        </w:rPr>
        <w:t>belajar</w:t>
      </w:r>
      <w:r>
        <w:rPr>
          <w:sz w:val="24"/>
          <w:szCs w:val="24"/>
        </w:rPr>
        <w:t xml:space="preserve"> </w:t>
      </w:r>
      <w:r>
        <w:rPr>
          <w:sz w:val="24"/>
          <w:szCs w:val="24"/>
        </w:rPr>
        <w:fldChar w:fldCharType="begin"/>
      </w:r>
      <w:r>
        <w:rPr>
          <w:sz w:val="24"/>
          <w:szCs w:val="24"/>
        </w:rPr>
        <w:instrText>ADDIN CSL_CITATION {"citationItems":[{"id":"ITEM-1","itemData":{"DOI":"10.1016/j.techsoc.2020.101433","ISSN":"0160791X","abstract":"We examine the first digital divide in a developing country, Thailand, exploring how resources and appropriation theory concepts explain internet use diversity. We find that computer and internet access opportunities are the primary drivers of internet use and also that their effect depends on individuals’ resources and social categories (particularly gender, age, and education), resulting in mobile and traditional user classes (younger, better educated, urban women, and older, less well-educated, married, non-urban individuals, respectively). Drivers behind internet use diversity may be generational, suggesting a need to switch the research focus from households to individuals, even in less developed countries.","author":[{"dropping-particle":"","family":"Lopez-Sintas","given":"Jordi","non-dropping-particle":"","parse-names":false,"suffix":""},{"dropping-particle":"","family":"Lamberti","given":"Giuseppe","non-dropping-particle":"","parse-names":false,"suffix":""},{"dropping-particle":"","family":"Sukphan","given":"Jakkapong","non-dropping-particle":"","parse-names":false,"suffix":""}],"container-title":"Technology in Society","id":"ITEM-1","issued":{"date-parts":[["2020"]]},"title":"The social structuring of the digital gap in a developing country. The impact of computer and internet access opportunities on internet use in Thailand","type":"article-journal"},"uris":["http://www.mendeley.com/documents/?uuid=c3af6747-f976-4423-b5ac-e0c595d883ce","http://www.mendeley.com/documents/?uuid=2df4323b-3b8b-4858-96d4-9bbeee76dcb7"]}],"mendeley":{"formattedCitation":"(Lopez-Sintas, Lamberti and Sukphan, 2020)","plainTextFormattedCitation":"(Lopez-Sintas, Lamberti and Sukphan, 2020)","previouslyFormattedCitation":"(Lopez-Sintas, Lamberti and Sukphan, 2020)"},"properties":{"noteIndex":0},"schema":"https://github.com/citation-style-language/schema/raw/master/csl-citation.json"}</w:instrText>
      </w:r>
      <w:r>
        <w:rPr>
          <w:sz w:val="24"/>
          <w:szCs w:val="24"/>
        </w:rPr>
        <w:fldChar w:fldCharType="separate"/>
      </w:r>
      <w:r>
        <w:rPr>
          <w:noProof/>
          <w:sz w:val="24"/>
          <w:szCs w:val="24"/>
        </w:rPr>
        <w:t>(Lopez-Sintas, Lamberti and Sukphan, 2020)</w:t>
      </w:r>
      <w:r>
        <w:rPr>
          <w:sz w:val="24"/>
          <w:szCs w:val="24"/>
        </w:rPr>
        <w:fldChar w:fldCharType="end"/>
      </w:r>
      <w:r>
        <w:rPr>
          <w:sz w:val="24"/>
          <w:szCs w:val="24"/>
        </w:rPr>
        <w:t xml:space="preserve">. </w:t>
      </w:r>
      <w:r>
        <w:rPr>
          <w:sz w:val="24"/>
          <w:szCs w:val="24"/>
        </w:rPr>
        <w:t>Mereka</w:t>
      </w:r>
      <w:r>
        <w:rPr>
          <w:sz w:val="24"/>
          <w:szCs w:val="24"/>
        </w:rPr>
        <w:t xml:space="preserve"> pun </w:t>
      </w:r>
      <w:r>
        <w:rPr>
          <w:sz w:val="24"/>
          <w:szCs w:val="24"/>
        </w:rPr>
        <w:t>tidak</w:t>
      </w:r>
      <w:r>
        <w:rPr>
          <w:sz w:val="24"/>
          <w:szCs w:val="24"/>
        </w:rPr>
        <w:t xml:space="preserve"> </w:t>
      </w:r>
      <w:r>
        <w:rPr>
          <w:sz w:val="24"/>
          <w:szCs w:val="24"/>
        </w:rPr>
        <w:t>mampu</w:t>
      </w:r>
      <w:r>
        <w:rPr>
          <w:sz w:val="24"/>
          <w:szCs w:val="24"/>
        </w:rPr>
        <w:t xml:space="preserve"> </w:t>
      </w:r>
      <w:r>
        <w:rPr>
          <w:sz w:val="24"/>
          <w:szCs w:val="24"/>
        </w:rPr>
        <w:t>memanfaatkan</w:t>
      </w:r>
      <w:r>
        <w:rPr>
          <w:sz w:val="24"/>
          <w:szCs w:val="24"/>
        </w:rPr>
        <w:t xml:space="preserve"> </w:t>
      </w:r>
      <w:r>
        <w:rPr>
          <w:sz w:val="24"/>
          <w:szCs w:val="24"/>
        </w:rPr>
        <w:t>sumber-sumber</w:t>
      </w:r>
      <w:r>
        <w:rPr>
          <w:sz w:val="24"/>
          <w:szCs w:val="24"/>
        </w:rPr>
        <w:t xml:space="preserve"> </w:t>
      </w:r>
      <w:r>
        <w:rPr>
          <w:sz w:val="24"/>
          <w:szCs w:val="24"/>
        </w:rPr>
        <w:t>belajar</w:t>
      </w:r>
      <w:r>
        <w:rPr>
          <w:sz w:val="24"/>
          <w:szCs w:val="24"/>
        </w:rPr>
        <w:t xml:space="preserve"> yang </w:t>
      </w:r>
      <w:r>
        <w:rPr>
          <w:sz w:val="24"/>
          <w:szCs w:val="24"/>
        </w:rPr>
        <w:t>beragam</w:t>
      </w:r>
      <w:r>
        <w:rPr>
          <w:sz w:val="24"/>
          <w:szCs w:val="24"/>
        </w:rPr>
        <w:t xml:space="preserve"> </w:t>
      </w:r>
      <w:r>
        <w:rPr>
          <w:sz w:val="24"/>
          <w:szCs w:val="24"/>
        </w:rPr>
        <w:t>dan</w:t>
      </w:r>
      <w:r>
        <w:rPr>
          <w:sz w:val="24"/>
          <w:szCs w:val="24"/>
        </w:rPr>
        <w:t xml:space="preserve"> kaya </w:t>
      </w:r>
      <w:r>
        <w:rPr>
          <w:sz w:val="24"/>
          <w:szCs w:val="24"/>
        </w:rPr>
        <w:t>sehingga</w:t>
      </w:r>
      <w:r>
        <w:rPr>
          <w:sz w:val="24"/>
          <w:szCs w:val="24"/>
        </w:rPr>
        <w:t xml:space="preserve"> </w:t>
      </w:r>
      <w:r>
        <w:rPr>
          <w:sz w:val="24"/>
          <w:szCs w:val="24"/>
        </w:rPr>
        <w:t>kurang</w:t>
      </w:r>
      <w:r>
        <w:rPr>
          <w:sz w:val="24"/>
          <w:szCs w:val="24"/>
        </w:rPr>
        <w:t xml:space="preserve"> </w:t>
      </w:r>
      <w:r>
        <w:rPr>
          <w:sz w:val="24"/>
          <w:szCs w:val="24"/>
        </w:rPr>
        <w:t>berhasil</w:t>
      </w:r>
      <w:r>
        <w:rPr>
          <w:sz w:val="24"/>
          <w:szCs w:val="24"/>
        </w:rPr>
        <w:t xml:space="preserve"> </w:t>
      </w:r>
      <w:r>
        <w:rPr>
          <w:sz w:val="24"/>
          <w:szCs w:val="24"/>
        </w:rPr>
        <w:t>dalam</w:t>
      </w:r>
      <w:r>
        <w:rPr>
          <w:sz w:val="24"/>
          <w:szCs w:val="24"/>
        </w:rPr>
        <w:t xml:space="preserve"> </w:t>
      </w:r>
      <w:r>
        <w:rPr>
          <w:sz w:val="24"/>
          <w:szCs w:val="24"/>
        </w:rPr>
        <w:t>meningkatkan</w:t>
      </w:r>
      <w:r>
        <w:rPr>
          <w:sz w:val="24"/>
          <w:szCs w:val="24"/>
        </w:rPr>
        <w:t xml:space="preserve"> </w:t>
      </w:r>
      <w:r>
        <w:rPr>
          <w:sz w:val="24"/>
          <w:szCs w:val="24"/>
        </w:rPr>
        <w:t>pengetahuan</w:t>
      </w:r>
      <w:r>
        <w:rPr>
          <w:sz w:val="24"/>
          <w:szCs w:val="24"/>
        </w:rPr>
        <w:t xml:space="preserve"> yang </w:t>
      </w:r>
      <w:r>
        <w:rPr>
          <w:sz w:val="24"/>
          <w:szCs w:val="24"/>
        </w:rPr>
        <w:t>dibutuhkan</w:t>
      </w:r>
      <w:r>
        <w:rPr>
          <w:sz w:val="24"/>
          <w:szCs w:val="24"/>
        </w:rPr>
        <w:t xml:space="preserve"> </w:t>
      </w:r>
      <w:r>
        <w:rPr>
          <w:sz w:val="24"/>
          <w:szCs w:val="24"/>
        </w:rPr>
        <w:t>untuk</w:t>
      </w:r>
      <w:r>
        <w:rPr>
          <w:sz w:val="24"/>
          <w:szCs w:val="24"/>
        </w:rPr>
        <w:t xml:space="preserve"> </w:t>
      </w:r>
      <w:r>
        <w:rPr>
          <w:sz w:val="24"/>
          <w:szCs w:val="24"/>
        </w:rPr>
        <w:t>evaluasi</w:t>
      </w:r>
      <w:r>
        <w:rPr>
          <w:sz w:val="24"/>
          <w:szCs w:val="24"/>
        </w:rPr>
        <w:t xml:space="preserve"> </w:t>
      </w:r>
      <w:r>
        <w:rPr>
          <w:sz w:val="24"/>
          <w:szCs w:val="24"/>
        </w:rPr>
        <w:t>belajar</w:t>
      </w:r>
      <w:r>
        <w:rPr>
          <w:sz w:val="24"/>
          <w:szCs w:val="24"/>
        </w:rPr>
        <w:t xml:space="preserve"> </w:t>
      </w:r>
      <w:r>
        <w:rPr>
          <w:sz w:val="24"/>
          <w:szCs w:val="24"/>
        </w:rPr>
        <w:fldChar w:fldCharType="begin"/>
      </w:r>
      <w:r>
        <w:rPr>
          <w:sz w:val="24"/>
          <w:szCs w:val="24"/>
        </w:rPr>
        <w:instrText>ADDIN CSL_CITATION {"citationItems":[{"id":"ITEM-1","itemData":{"DOI":"10.1145/3428502.3428534","ISBN":"9781450376747","abstract":"This work is a preliminary study based on a qualitative research strategy of an exploratory nature to ascertain whether Brazilian public schools had the adequate technological infrastructure to begin remote classes during the pandemic period in the second quarter of 2020. An analysis was made on the availability of internet access and also on equipment needed for remote classes in Brazilian public schools from datas by Cetic.br, CIEBE, and MEC/FNDE. Although the data from the analyzed sources are numerical, the research does not combine the quantitative data, but only interprets the information provided by the three institutions. The result indicates a lack of technological infrastructure, connectivity, and planning for disruptive technologies.","author":[{"dropping-particle":"","family":"Azevedo Vieira","given":"Edilaine","non-dropping-particle":"De","parse-names":false,"suffix":""},{"dropping-particle":"","family":"Coviello","given":"Alvaro Maximiliano Pino","non-dropping-particle":"","parse-names":false,"suffix":""},{"dropping-particle":"","family":"Coelho","given":"Taiane Ritta","non-dropping-particle":"","parse-names":false,"suffix":""}],"container-title":"ACM International Conference Proceeding Series","id":"ITEM-1","issued":{"date-parts":[["2020"]]},"title":"Technological infrastructure for remote classes in Brazilian public schools during the COVID-19 pandemic","type":"paper-conference"},"uris":["http://www.mendeley.com/documents/?uuid=088cd6d3-05d9-443d-9211-f0a3e0a74bf0","http://www.mendeley.com/documents/?uuid=1741f429-c159-495a-88e5-abdcfcf07fe4"]}],"mendeley":{"formattedCitation":"(De Azevedo Vieira, Coviello and Coelho, 2020)","plainTextFormattedCitation":"(De Azevedo Vieira, Coviello and Coelho, 2020)","previouslyFormattedCitation":"(De Azevedo Vieira, Coviello and Coelho, 2020)"},"properties":{"noteIndex":0},"schema":"https://github.com/citation-style-language/schema/raw/master/csl-citation.json"}</w:instrText>
      </w:r>
      <w:r>
        <w:rPr>
          <w:sz w:val="24"/>
          <w:szCs w:val="24"/>
        </w:rPr>
        <w:fldChar w:fldCharType="separate"/>
      </w:r>
      <w:r>
        <w:rPr>
          <w:noProof/>
          <w:sz w:val="24"/>
          <w:szCs w:val="24"/>
        </w:rPr>
        <w:t>(De Azevedo Vieira, Coviello and Coelho, 2020)</w:t>
      </w:r>
      <w:r>
        <w:rPr>
          <w:sz w:val="24"/>
          <w:szCs w:val="24"/>
        </w:rPr>
        <w:fldChar w:fldCharType="end"/>
      </w:r>
      <w:r>
        <w:rPr>
          <w:sz w:val="24"/>
          <w:szCs w:val="24"/>
        </w:rPr>
        <w:t xml:space="preserve">. </w:t>
      </w:r>
      <w:r>
        <w:rPr>
          <w:sz w:val="24"/>
          <w:szCs w:val="24"/>
        </w:rPr>
        <w:t>Sementara</w:t>
      </w:r>
      <w:r>
        <w:rPr>
          <w:sz w:val="24"/>
          <w:szCs w:val="24"/>
        </w:rPr>
        <w:t xml:space="preserve"> </w:t>
      </w:r>
      <w:r>
        <w:rPr>
          <w:sz w:val="24"/>
          <w:szCs w:val="24"/>
        </w:rPr>
        <w:t>itu</w:t>
      </w:r>
      <w:r>
        <w:rPr>
          <w:sz w:val="24"/>
          <w:szCs w:val="24"/>
        </w:rPr>
        <w:t xml:space="preserve">, </w:t>
      </w:r>
      <w:r>
        <w:rPr>
          <w:sz w:val="24"/>
          <w:szCs w:val="24"/>
        </w:rPr>
        <w:t>anak-anak</w:t>
      </w:r>
      <w:r>
        <w:rPr>
          <w:sz w:val="24"/>
          <w:szCs w:val="24"/>
        </w:rPr>
        <w:t xml:space="preserve"> yang </w:t>
      </w:r>
      <w:r>
        <w:rPr>
          <w:sz w:val="24"/>
          <w:szCs w:val="24"/>
        </w:rPr>
        <w:t>memiliki</w:t>
      </w:r>
      <w:r>
        <w:rPr>
          <w:sz w:val="24"/>
          <w:szCs w:val="24"/>
        </w:rPr>
        <w:t xml:space="preserve"> </w:t>
      </w:r>
      <w:r>
        <w:rPr>
          <w:sz w:val="24"/>
          <w:szCs w:val="24"/>
        </w:rPr>
        <w:t>akses</w:t>
      </w:r>
      <w:r>
        <w:rPr>
          <w:sz w:val="24"/>
          <w:szCs w:val="24"/>
        </w:rPr>
        <w:t xml:space="preserve"> </w:t>
      </w:r>
      <w:r>
        <w:rPr>
          <w:sz w:val="24"/>
          <w:szCs w:val="24"/>
        </w:rPr>
        <w:t>teknologi</w:t>
      </w:r>
      <w:r>
        <w:rPr>
          <w:sz w:val="24"/>
          <w:szCs w:val="24"/>
        </w:rPr>
        <w:t xml:space="preserve"> yang </w:t>
      </w:r>
      <w:r>
        <w:rPr>
          <w:sz w:val="24"/>
          <w:szCs w:val="24"/>
        </w:rPr>
        <w:t>luas</w:t>
      </w:r>
      <w:r>
        <w:rPr>
          <w:sz w:val="24"/>
          <w:szCs w:val="24"/>
        </w:rPr>
        <w:t xml:space="preserve"> </w:t>
      </w:r>
      <w:r>
        <w:rPr>
          <w:sz w:val="24"/>
          <w:szCs w:val="24"/>
        </w:rPr>
        <w:t>dapat</w:t>
      </w:r>
      <w:r>
        <w:rPr>
          <w:sz w:val="24"/>
          <w:szCs w:val="24"/>
        </w:rPr>
        <w:t xml:space="preserve"> </w:t>
      </w:r>
      <w:r>
        <w:rPr>
          <w:sz w:val="24"/>
          <w:szCs w:val="24"/>
        </w:rPr>
        <w:t>mengakses</w:t>
      </w:r>
      <w:r>
        <w:rPr>
          <w:sz w:val="24"/>
          <w:szCs w:val="24"/>
        </w:rPr>
        <w:t xml:space="preserve"> </w:t>
      </w:r>
      <w:r>
        <w:rPr>
          <w:sz w:val="24"/>
          <w:szCs w:val="24"/>
        </w:rPr>
        <w:t>sumber-sumber</w:t>
      </w:r>
      <w:r>
        <w:rPr>
          <w:sz w:val="24"/>
          <w:szCs w:val="24"/>
        </w:rPr>
        <w:t xml:space="preserve"> yang </w:t>
      </w:r>
      <w:r>
        <w:rPr>
          <w:sz w:val="24"/>
          <w:szCs w:val="24"/>
        </w:rPr>
        <w:t>hampir</w:t>
      </w:r>
      <w:r>
        <w:rPr>
          <w:sz w:val="24"/>
          <w:szCs w:val="24"/>
        </w:rPr>
        <w:t xml:space="preserve"> </w:t>
      </w:r>
      <w:r>
        <w:rPr>
          <w:sz w:val="24"/>
          <w:szCs w:val="24"/>
        </w:rPr>
        <w:t>tidak</w:t>
      </w:r>
      <w:r>
        <w:rPr>
          <w:sz w:val="24"/>
          <w:szCs w:val="24"/>
        </w:rPr>
        <w:t xml:space="preserve"> </w:t>
      </w:r>
      <w:r>
        <w:rPr>
          <w:sz w:val="24"/>
          <w:szCs w:val="24"/>
        </w:rPr>
        <w:t>terbatas</w:t>
      </w:r>
      <w:r>
        <w:rPr>
          <w:sz w:val="24"/>
          <w:szCs w:val="24"/>
        </w:rPr>
        <w:t xml:space="preserve"> </w:t>
      </w:r>
      <w:r>
        <w:rPr>
          <w:sz w:val="24"/>
          <w:szCs w:val="24"/>
        </w:rPr>
        <w:t>dan</w:t>
      </w:r>
      <w:r>
        <w:rPr>
          <w:sz w:val="24"/>
          <w:szCs w:val="24"/>
        </w:rPr>
        <w:t xml:space="preserve"> </w:t>
      </w:r>
      <w:r>
        <w:rPr>
          <w:sz w:val="24"/>
          <w:szCs w:val="24"/>
        </w:rPr>
        <w:t>mampu</w:t>
      </w:r>
      <w:r>
        <w:rPr>
          <w:sz w:val="24"/>
          <w:szCs w:val="24"/>
        </w:rPr>
        <w:t xml:space="preserve"> </w:t>
      </w:r>
      <w:r>
        <w:rPr>
          <w:sz w:val="24"/>
          <w:szCs w:val="24"/>
        </w:rPr>
        <w:t>berpartisipasi</w:t>
      </w:r>
      <w:r>
        <w:rPr>
          <w:sz w:val="24"/>
          <w:szCs w:val="24"/>
        </w:rPr>
        <w:t xml:space="preserve"> </w:t>
      </w:r>
      <w:r>
        <w:rPr>
          <w:sz w:val="24"/>
          <w:szCs w:val="24"/>
        </w:rPr>
        <w:t>aktif</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w:t>
      </w:r>
      <w:r>
        <w:rPr>
          <w:sz w:val="24"/>
          <w:szCs w:val="24"/>
        </w:rPr>
        <w:fldChar w:fldCharType="begin"/>
      </w:r>
      <w:r>
        <w:rPr>
          <w:sz w:val="24"/>
          <w:szCs w:val="24"/>
        </w:rPr>
        <w:instrText>ADDIN CSL_CITATION {"citationItems":[{"id":"ITEM-1","itemData":{"DOI":"10.1007/s41062-020-00326-7","ISSN":"23644184","abstract":"Due to COVID-19 outbreaks worldwide, the academic institutions have been enforced to entirely cancel face-to-face teaching including laboratories and other learning experiences as a mitigation step against the risk posed by the Coronavirus. Accordingly, various measures by the higher education providers have been initiated to implement social isolation strategies, and online teaching is followed with rapid curriculum transformation. The online delivery is more convenient, as it can provide vibrant and dynamic teaching and learning environment. However, due to time constraint, the curriculum transformation is anticipated to occur rapidly without sufficient preparation. Therefore, in this study, the concept of the emergency remote teaching (ERT) including its application and evaluation is thoroughly discussed. The application of the ERT in the Middle East College Oman has been considered as case study. This study draws on CIPP evaluation model to assess the effectiveness of the adopted model, and qualitative data were collected online taking random samples of students and educators. Besides, interview and questionnaire responses, experiences, beliefs, and challenges encountered by the educators and students on the emergency remote teaching were used and analyzed. In addition, students’ weekly attendance segregated with session modes, levels and module nature were considered to evaluate the students’ participation to the online classes. The collected information were analyzed, and based on the analysis outcomes, recommendations were forwarded to serve as an input for future strategies and policies and to improve the performance of teaching learning activities during similar circumstances.","author":[{"dropping-particle":"","family":"Mohmmed","given":"Abdalellah O.","non-dropping-particle":"","parse-names":false,"suffix":""},{"dropping-particle":"","family":"Khidhir","given":"Basim A.","non-dropping-particle":"","parse-names":false,"suffix":""},{"dropping-particle":"","family":"Nazeer","given":"Abdul","non-dropping-particle":"","parse-names":false,"suffix":""},{"dropping-particle":"","family":"Vijayan","given":"Vigil J.","non-dropping-particle":"","parse-names":false,"suffix":""}],"container-title":"Innovative Infrastructure Solutions","id":"ITEM-1","issued":{"date-parts":[["2020"]]},"title":"Emergency remote teaching during Coronavirus pandemic: the current trend and future directive at Middle East College Oman","type":"article-journal"},"uris":["http://www.mendeley.com/documents/?uuid=c9fe0ad1-f47c-4ee3-9cf7-67e1bf1f9ddf","http://www.mendeley.com/documents/?uuid=0de146c2-3fe6-4ba6-b7fb-926bdb4544be"]}],"mendeley":{"formattedCitation":"(Mohmmed &lt;i&gt;et al.&lt;/i&gt;, 2020)","plainTextFormattedCitation":"(Mohmmed et al., 2020)"},"properties":{"noteIndex":0},"schema":"https://github.com/citation-style-language/schema/raw/master/csl-citation.json"}</w:instrText>
      </w:r>
      <w:r>
        <w:rPr>
          <w:sz w:val="24"/>
          <w:szCs w:val="24"/>
        </w:rPr>
        <w:fldChar w:fldCharType="separate"/>
      </w:r>
      <w:r>
        <w:rPr>
          <w:noProof/>
          <w:sz w:val="24"/>
          <w:szCs w:val="24"/>
        </w:rPr>
        <w:t xml:space="preserve">(Mohmmed </w:t>
      </w:r>
      <w:r>
        <w:rPr>
          <w:i/>
          <w:noProof/>
          <w:sz w:val="24"/>
          <w:szCs w:val="24"/>
        </w:rPr>
        <w:t>et al.</w:t>
      </w:r>
      <w:r>
        <w:rPr>
          <w:noProof/>
          <w:sz w:val="24"/>
          <w:szCs w:val="24"/>
        </w:rPr>
        <w:t>, 2020)</w:t>
      </w:r>
      <w:r>
        <w:rPr>
          <w:sz w:val="24"/>
          <w:szCs w:val="24"/>
        </w:rPr>
        <w:fldChar w:fldCharType="end"/>
      </w:r>
      <w:r>
        <w:rPr>
          <w:sz w:val="24"/>
          <w:szCs w:val="24"/>
        </w:rPr>
        <w:t xml:space="preserve">. </w:t>
      </w:r>
      <w:r>
        <w:rPr>
          <w:sz w:val="24"/>
          <w:szCs w:val="24"/>
        </w:rPr>
        <w:t>Ketimpangan</w:t>
      </w:r>
      <w:r>
        <w:rPr>
          <w:sz w:val="24"/>
          <w:szCs w:val="24"/>
        </w:rPr>
        <w:t xml:space="preserve"> </w:t>
      </w:r>
      <w:r>
        <w:rPr>
          <w:sz w:val="24"/>
          <w:szCs w:val="24"/>
        </w:rPr>
        <w:t>akses</w:t>
      </w:r>
      <w:r>
        <w:rPr>
          <w:sz w:val="24"/>
          <w:szCs w:val="24"/>
        </w:rPr>
        <w:t xml:space="preserve"> </w:t>
      </w:r>
      <w:r>
        <w:rPr>
          <w:sz w:val="24"/>
          <w:szCs w:val="24"/>
        </w:rPr>
        <w:t>antar</w:t>
      </w:r>
      <w:r>
        <w:rPr>
          <w:sz w:val="24"/>
          <w:szCs w:val="24"/>
        </w:rPr>
        <w:t xml:space="preserve"> </w:t>
      </w:r>
      <w:r>
        <w:rPr>
          <w:sz w:val="24"/>
          <w:szCs w:val="24"/>
        </w:rPr>
        <w:t>siswa</w:t>
      </w:r>
      <w:r>
        <w:rPr>
          <w:sz w:val="24"/>
          <w:szCs w:val="24"/>
        </w:rPr>
        <w:t xml:space="preserve"> </w:t>
      </w:r>
      <w:r>
        <w:rPr>
          <w:sz w:val="24"/>
          <w:szCs w:val="24"/>
        </w:rPr>
        <w:t>akhirnya</w:t>
      </w:r>
      <w:r>
        <w:rPr>
          <w:sz w:val="24"/>
          <w:szCs w:val="24"/>
        </w:rPr>
        <w:t xml:space="preserve"> </w:t>
      </w:r>
      <w:r>
        <w:rPr>
          <w:sz w:val="24"/>
          <w:szCs w:val="24"/>
        </w:rPr>
        <w:t>berbanding</w:t>
      </w:r>
      <w:r>
        <w:rPr>
          <w:sz w:val="24"/>
          <w:szCs w:val="24"/>
        </w:rPr>
        <w:t xml:space="preserve"> </w:t>
      </w:r>
      <w:r>
        <w:rPr>
          <w:sz w:val="24"/>
          <w:szCs w:val="24"/>
        </w:rPr>
        <w:t>lurus</w:t>
      </w:r>
      <w:r>
        <w:rPr>
          <w:sz w:val="24"/>
          <w:szCs w:val="24"/>
        </w:rPr>
        <w:t xml:space="preserve"> </w:t>
      </w:r>
      <w:r>
        <w:rPr>
          <w:sz w:val="24"/>
          <w:szCs w:val="24"/>
        </w:rPr>
        <w:t>dengan</w:t>
      </w:r>
      <w:r>
        <w:rPr>
          <w:sz w:val="24"/>
          <w:szCs w:val="24"/>
        </w:rPr>
        <w:t xml:space="preserve"> </w:t>
      </w:r>
      <w:r>
        <w:rPr>
          <w:sz w:val="24"/>
          <w:szCs w:val="24"/>
        </w:rPr>
        <w:t>hasil</w:t>
      </w:r>
      <w:r>
        <w:rPr>
          <w:sz w:val="24"/>
          <w:szCs w:val="24"/>
        </w:rPr>
        <w:t xml:space="preserve"> </w:t>
      </w:r>
      <w:r>
        <w:rPr>
          <w:sz w:val="24"/>
          <w:szCs w:val="24"/>
        </w:rPr>
        <w:t>evaluasi</w:t>
      </w:r>
      <w:r>
        <w:rPr>
          <w:sz w:val="24"/>
          <w:szCs w:val="24"/>
        </w:rPr>
        <w:t xml:space="preserve"> </w:t>
      </w:r>
      <w:r>
        <w:rPr>
          <w:sz w:val="24"/>
          <w:szCs w:val="24"/>
        </w:rPr>
        <w:t>studi</w:t>
      </w:r>
      <w:r>
        <w:rPr>
          <w:sz w:val="24"/>
          <w:szCs w:val="24"/>
        </w:rPr>
        <w:t xml:space="preserve"> </w:t>
      </w:r>
      <w:r>
        <w:rPr>
          <w:sz w:val="24"/>
          <w:szCs w:val="24"/>
        </w:rPr>
        <w:t>siswa</w:t>
      </w:r>
      <w:r>
        <w:rPr>
          <w:sz w:val="24"/>
          <w:szCs w:val="24"/>
        </w:rPr>
        <w:t xml:space="preserve">  (</w:t>
      </w:r>
      <w:r>
        <w:rPr>
          <w:sz w:val="24"/>
          <w:szCs w:val="24"/>
        </w:rPr>
        <w:fldChar w:fldCharType="begin"/>
      </w:r>
      <w:r>
        <w:rPr>
          <w:sz w:val="24"/>
          <w:szCs w:val="24"/>
        </w:rPr>
        <w:instrText>ADDIN CSL_CITATION {"citationItems":[{"id":"ITEM-1","itemData":{"DOI":"10.1016/j.ijedro.2020.100022","ISSN":"26663740","abstract":"This study investigates the digital divide in access to remote learning for children in Nigeria, as a result of the COVID-19 pandemic  The data used in this study is from a survey conducted by The Education Partnership (TEP) Centre and the Nigerian Economic Summit Group (NESG), which sampled 557 students and 626 parents living in Nigeria  From the survey, we found: a relationship between the socioeconomic status and the digital divide in accessing remote learning, significant differences in students’ access to remote learning opportunities during the pandemic, and significant differences in access to digital tools between students in government schools and their private school counterparts  We also found a statistically significant association between parental level of education and the ability to support children&amp;#039;s remote learning during the pandemic","author":[{"dropping-particle":"","family":"Azubuike","given":"Obiageri Bridget","non-dropping-particle":"","parse-names":false,"suffix":""},{"dropping-particle":"","family":"Adegboye","given":"Oyindamola","non-dropping-particle":"","parse-names":false,"suffix":""},{"dropping-particle":"","family":"Quadri","given":"Habeeb","non-dropping-particle":"","parse-names":false,"suffix":""}],"container-title":"International Journal of Educational Research Open","id":"ITEM-1","issued":{"date-parts":[["2020"]]},"title":"Who gets to learn in a pandemic? Exploring the digital divide in remote learning during the COVID-19 pandemic in Nigeria","type":"article-journal"},"uris":["http://www.mendeley.com/documents/?uuid=42d0d93e-70b0-4ac2-87cf-4e66e18c9602","http://www.mendeley.com/documents/?uuid=b85e3088-9fa2-4785-aa5b-445910eac215","http://www.mendeley.com/documents/?uuid=e2471659-df1a-4a26-9930-108415f41330"]}],"mendeley":{"formattedCitation":"(Azubuike, Adegboye and Quadri, 2020)","manualFormatting":"Azubuike et al., 2020","plainTextFormattedCitation":"(Azubuike, Adegboye and Quadri, 2020)","previouslyFormattedCitation":"(Azubuike, Adegboye and Quadri, 2020)"},"properties":{"noteIndex":0},"schema":"https://github.com/citation-style-language/schema/raw/master/csl-citation.json"}</w:instrText>
      </w:r>
      <w:r>
        <w:rPr>
          <w:sz w:val="24"/>
          <w:szCs w:val="24"/>
        </w:rPr>
        <w:fldChar w:fldCharType="separate"/>
      </w:r>
      <w:r>
        <w:rPr>
          <w:noProof/>
          <w:sz w:val="24"/>
          <w:szCs w:val="24"/>
        </w:rPr>
        <w:t>Azubuike</w:t>
      </w:r>
      <w:r>
        <w:rPr>
          <w:noProof/>
          <w:sz w:val="24"/>
          <w:szCs w:val="24"/>
        </w:rPr>
        <w:t xml:space="preserve"> et al., 2020</w:t>
      </w:r>
      <w:r>
        <w:rPr>
          <w:sz w:val="24"/>
          <w:szCs w:val="24"/>
        </w:rPr>
        <w:fldChar w:fldCharType="end"/>
      </w:r>
      <w:r>
        <w:rPr>
          <w:sz w:val="24"/>
          <w:szCs w:val="24"/>
        </w:rPr>
        <w:t xml:space="preserve">). </w:t>
      </w:r>
      <w:r>
        <w:rPr>
          <w:sz w:val="24"/>
          <w:szCs w:val="24"/>
        </w:rPr>
        <w:t>Pendidikan</w:t>
      </w:r>
      <w:r>
        <w:rPr>
          <w:sz w:val="24"/>
          <w:szCs w:val="24"/>
        </w:rPr>
        <w:t xml:space="preserve"> </w:t>
      </w:r>
      <w:r>
        <w:rPr>
          <w:sz w:val="24"/>
          <w:szCs w:val="24"/>
        </w:rPr>
        <w:t>tidak</w:t>
      </w:r>
      <w:r>
        <w:rPr>
          <w:sz w:val="24"/>
          <w:szCs w:val="24"/>
        </w:rPr>
        <w:t xml:space="preserve"> </w:t>
      </w:r>
      <w:r>
        <w:rPr>
          <w:sz w:val="24"/>
          <w:szCs w:val="24"/>
        </w:rPr>
        <w:t>lagi</w:t>
      </w:r>
      <w:r>
        <w:rPr>
          <w:sz w:val="24"/>
          <w:szCs w:val="24"/>
        </w:rPr>
        <w:t xml:space="preserve"> </w:t>
      </w:r>
      <w:r>
        <w:rPr>
          <w:sz w:val="24"/>
          <w:szCs w:val="24"/>
        </w:rPr>
        <w:t>menjadi</w:t>
      </w:r>
      <w:r>
        <w:rPr>
          <w:sz w:val="24"/>
          <w:szCs w:val="24"/>
        </w:rPr>
        <w:t xml:space="preserve"> </w:t>
      </w:r>
      <w:r>
        <w:rPr>
          <w:sz w:val="24"/>
          <w:szCs w:val="24"/>
        </w:rPr>
        <w:t>jalan</w:t>
      </w:r>
      <w:r>
        <w:rPr>
          <w:sz w:val="24"/>
          <w:szCs w:val="24"/>
        </w:rPr>
        <w:t xml:space="preserve"> </w:t>
      </w:r>
      <w:r>
        <w:rPr>
          <w:sz w:val="24"/>
          <w:szCs w:val="24"/>
        </w:rPr>
        <w:t>pembebasan</w:t>
      </w:r>
      <w:r>
        <w:rPr>
          <w:sz w:val="24"/>
          <w:szCs w:val="24"/>
        </w:rPr>
        <w:t xml:space="preserve"> </w:t>
      </w:r>
      <w:r>
        <w:rPr>
          <w:sz w:val="24"/>
          <w:szCs w:val="24"/>
        </w:rPr>
        <w:t>atau</w:t>
      </w:r>
      <w:r>
        <w:rPr>
          <w:sz w:val="24"/>
          <w:szCs w:val="24"/>
        </w:rPr>
        <w:t xml:space="preserve"> </w:t>
      </w:r>
      <w:r>
        <w:rPr>
          <w:sz w:val="24"/>
          <w:szCs w:val="24"/>
        </w:rPr>
        <w:t>perjuangan</w:t>
      </w:r>
      <w:r>
        <w:rPr>
          <w:sz w:val="24"/>
          <w:szCs w:val="24"/>
        </w:rPr>
        <w:t xml:space="preserve"> </w:t>
      </w:r>
      <w:r>
        <w:rPr>
          <w:sz w:val="24"/>
          <w:szCs w:val="24"/>
        </w:rPr>
        <w:t>kelas</w:t>
      </w:r>
      <w:r>
        <w:rPr>
          <w:sz w:val="24"/>
          <w:szCs w:val="24"/>
        </w:rPr>
        <w:t xml:space="preserve"> </w:t>
      </w:r>
      <w:r>
        <w:rPr>
          <w:sz w:val="24"/>
          <w:szCs w:val="24"/>
        </w:rPr>
        <w:t>bagi</w:t>
      </w:r>
      <w:r>
        <w:rPr>
          <w:sz w:val="24"/>
          <w:szCs w:val="24"/>
        </w:rPr>
        <w:t xml:space="preserve"> </w:t>
      </w:r>
      <w:r>
        <w:rPr>
          <w:sz w:val="24"/>
          <w:szCs w:val="24"/>
        </w:rPr>
        <w:t>kelompok</w:t>
      </w:r>
      <w:r>
        <w:rPr>
          <w:sz w:val="24"/>
          <w:szCs w:val="24"/>
        </w:rPr>
        <w:t xml:space="preserve"> </w:t>
      </w:r>
      <w:r>
        <w:rPr>
          <w:sz w:val="24"/>
          <w:szCs w:val="24"/>
        </w:rPr>
        <w:t>masyarakat</w:t>
      </w:r>
      <w:r>
        <w:rPr>
          <w:sz w:val="24"/>
          <w:szCs w:val="24"/>
        </w:rPr>
        <w:t xml:space="preserve"> </w:t>
      </w:r>
      <w:r>
        <w:rPr>
          <w:sz w:val="24"/>
          <w:szCs w:val="24"/>
        </w:rPr>
        <w:t>miskin</w:t>
      </w:r>
      <w:r>
        <w:rPr>
          <w:sz w:val="24"/>
          <w:szCs w:val="24"/>
        </w:rPr>
        <w:t xml:space="preserve"> </w:t>
      </w:r>
      <w:r>
        <w:rPr>
          <w:sz w:val="24"/>
          <w:szCs w:val="24"/>
        </w:rPr>
        <w:t>pada</w:t>
      </w:r>
      <w:r>
        <w:rPr>
          <w:sz w:val="24"/>
          <w:szCs w:val="24"/>
        </w:rPr>
        <w:t xml:space="preserve"> </w:t>
      </w:r>
      <w:r>
        <w:rPr>
          <w:sz w:val="24"/>
          <w:szCs w:val="24"/>
        </w:rPr>
        <w:t>masa</w:t>
      </w:r>
      <w:r>
        <w:rPr>
          <w:sz w:val="24"/>
          <w:szCs w:val="24"/>
        </w:rPr>
        <w:t xml:space="preserve"> pandemic </w:t>
      </w:r>
      <w:r>
        <w:rPr>
          <w:sz w:val="24"/>
          <w:szCs w:val="24"/>
        </w:rPr>
        <w:t>karena</w:t>
      </w:r>
      <w:r>
        <w:rPr>
          <w:sz w:val="24"/>
          <w:szCs w:val="24"/>
        </w:rPr>
        <w:t xml:space="preserve"> </w:t>
      </w:r>
      <w:r>
        <w:rPr>
          <w:sz w:val="24"/>
          <w:szCs w:val="24"/>
        </w:rPr>
        <w:t>pendidikan</w:t>
      </w:r>
      <w:r>
        <w:rPr>
          <w:sz w:val="24"/>
          <w:szCs w:val="24"/>
        </w:rPr>
        <w:t xml:space="preserve"> </w:t>
      </w:r>
      <w:r>
        <w:rPr>
          <w:sz w:val="24"/>
          <w:szCs w:val="24"/>
        </w:rPr>
        <w:t>melayani</w:t>
      </w:r>
      <w:r>
        <w:rPr>
          <w:sz w:val="24"/>
          <w:szCs w:val="24"/>
        </w:rPr>
        <w:t xml:space="preserve"> </w:t>
      </w:r>
      <w:r>
        <w:rPr>
          <w:sz w:val="24"/>
          <w:szCs w:val="24"/>
        </w:rPr>
        <w:t>kepentingan</w:t>
      </w:r>
      <w:r>
        <w:rPr>
          <w:sz w:val="24"/>
          <w:szCs w:val="24"/>
        </w:rPr>
        <w:t xml:space="preserve"> </w:t>
      </w:r>
      <w:r>
        <w:rPr>
          <w:sz w:val="24"/>
          <w:szCs w:val="24"/>
        </w:rPr>
        <w:t>teknologi</w:t>
      </w:r>
      <w:r>
        <w:rPr>
          <w:sz w:val="24"/>
          <w:szCs w:val="24"/>
        </w:rPr>
        <w:t>.</w:t>
      </w:r>
      <w:r>
        <w:rPr>
          <w:sz w:val="24"/>
          <w:szCs w:val="24"/>
        </w:rPr>
        <w:t xml:space="preserve"> </w:t>
      </w:r>
      <w:r>
        <w:rPr>
          <w:sz w:val="24"/>
          <w:szCs w:val="24"/>
        </w:rPr>
        <w:t>Perbedaan</w:t>
      </w:r>
      <w:r>
        <w:rPr>
          <w:sz w:val="24"/>
          <w:szCs w:val="24"/>
        </w:rPr>
        <w:t xml:space="preserve"> </w:t>
      </w:r>
      <w:r>
        <w:rPr>
          <w:sz w:val="24"/>
          <w:szCs w:val="24"/>
        </w:rPr>
        <w:t>akses</w:t>
      </w:r>
      <w:r>
        <w:rPr>
          <w:sz w:val="24"/>
          <w:szCs w:val="24"/>
        </w:rPr>
        <w:t xml:space="preserve"> internet </w:t>
      </w:r>
      <w:r>
        <w:rPr>
          <w:sz w:val="24"/>
          <w:szCs w:val="24"/>
        </w:rPr>
        <w:t>dan</w:t>
      </w:r>
      <w:r>
        <w:rPr>
          <w:sz w:val="24"/>
          <w:szCs w:val="24"/>
        </w:rPr>
        <w:t xml:space="preserve"> </w:t>
      </w:r>
      <w:r>
        <w:rPr>
          <w:sz w:val="24"/>
          <w:szCs w:val="24"/>
        </w:rPr>
        <w:t>perangkat</w:t>
      </w:r>
      <w:r>
        <w:rPr>
          <w:sz w:val="24"/>
          <w:szCs w:val="24"/>
        </w:rPr>
        <w:t xml:space="preserve"> </w:t>
      </w:r>
      <w:r>
        <w:rPr>
          <w:sz w:val="24"/>
          <w:szCs w:val="24"/>
        </w:rPr>
        <w:t>teknologi</w:t>
      </w:r>
      <w:r>
        <w:rPr>
          <w:sz w:val="24"/>
          <w:szCs w:val="24"/>
        </w:rPr>
        <w:t xml:space="preserve"> </w:t>
      </w:r>
      <w:r>
        <w:rPr>
          <w:sz w:val="24"/>
          <w:szCs w:val="24"/>
        </w:rPr>
        <w:t>dalam</w:t>
      </w:r>
      <w:r>
        <w:rPr>
          <w:sz w:val="24"/>
          <w:szCs w:val="24"/>
        </w:rPr>
        <w:t xml:space="preserve"> </w:t>
      </w:r>
      <w:r>
        <w:rPr>
          <w:sz w:val="24"/>
          <w:szCs w:val="24"/>
        </w:rPr>
        <w:t>pelaksanaan</w:t>
      </w:r>
      <w:r>
        <w:rPr>
          <w:sz w:val="24"/>
          <w:szCs w:val="24"/>
        </w:rPr>
        <w:t xml:space="preserve"> </w:t>
      </w:r>
      <w:r>
        <w:rPr>
          <w:sz w:val="24"/>
          <w:szCs w:val="24"/>
        </w:rPr>
        <w:t>pembelajaran</w:t>
      </w:r>
      <w:r>
        <w:rPr>
          <w:sz w:val="24"/>
          <w:szCs w:val="24"/>
        </w:rPr>
        <w:t xml:space="preserve"> online </w:t>
      </w:r>
      <w:r>
        <w:rPr>
          <w:sz w:val="24"/>
          <w:szCs w:val="24"/>
        </w:rPr>
        <w:t>berbanding</w:t>
      </w:r>
      <w:r>
        <w:rPr>
          <w:sz w:val="24"/>
          <w:szCs w:val="24"/>
        </w:rPr>
        <w:t xml:space="preserve"> </w:t>
      </w:r>
      <w:r>
        <w:rPr>
          <w:sz w:val="24"/>
          <w:szCs w:val="24"/>
        </w:rPr>
        <w:t>lurus</w:t>
      </w:r>
      <w:r>
        <w:rPr>
          <w:sz w:val="24"/>
          <w:szCs w:val="24"/>
        </w:rPr>
        <w:t xml:space="preserve"> </w:t>
      </w:r>
      <w:r>
        <w:rPr>
          <w:sz w:val="24"/>
          <w:szCs w:val="24"/>
        </w:rPr>
        <w:t>dengan</w:t>
      </w:r>
      <w:r>
        <w:rPr>
          <w:sz w:val="24"/>
          <w:szCs w:val="24"/>
        </w:rPr>
        <w:t xml:space="preserve"> </w:t>
      </w:r>
      <w:r>
        <w:rPr>
          <w:sz w:val="24"/>
          <w:szCs w:val="24"/>
        </w:rPr>
        <w:t>stratifikasi</w:t>
      </w:r>
      <w:r>
        <w:rPr>
          <w:sz w:val="24"/>
          <w:szCs w:val="24"/>
        </w:rPr>
        <w:t xml:space="preserve"> </w:t>
      </w:r>
      <w:r>
        <w:rPr>
          <w:sz w:val="24"/>
          <w:szCs w:val="24"/>
        </w:rPr>
        <w:t>sosial</w:t>
      </w:r>
      <w:r>
        <w:rPr>
          <w:sz w:val="24"/>
          <w:szCs w:val="24"/>
        </w:rPr>
        <w:t xml:space="preserve"> </w:t>
      </w:r>
      <w:r>
        <w:rPr>
          <w:sz w:val="24"/>
          <w:szCs w:val="24"/>
        </w:rPr>
        <w:t>ekonomi</w:t>
      </w:r>
      <w:r>
        <w:rPr>
          <w:sz w:val="24"/>
          <w:szCs w:val="24"/>
        </w:rPr>
        <w:t xml:space="preserve"> yang </w:t>
      </w:r>
      <w:r>
        <w:rPr>
          <w:sz w:val="24"/>
          <w:szCs w:val="24"/>
        </w:rPr>
        <w:t>ada</w:t>
      </w:r>
      <w:r>
        <w:rPr>
          <w:sz w:val="24"/>
          <w:szCs w:val="24"/>
        </w:rPr>
        <w:t xml:space="preserve"> di </w:t>
      </w:r>
      <w:r>
        <w:rPr>
          <w:sz w:val="24"/>
          <w:szCs w:val="24"/>
        </w:rPr>
        <w:t>masyarakat</w:t>
      </w:r>
      <w:r>
        <w:rPr>
          <w:sz w:val="24"/>
          <w:szCs w:val="24"/>
        </w:rPr>
        <w:t xml:space="preserve"> </w:t>
      </w:r>
      <w:r>
        <w:rPr>
          <w:sz w:val="24"/>
          <w:szCs w:val="24"/>
        </w:rPr>
        <w:fldChar w:fldCharType="begin"/>
      </w:r>
      <w:r>
        <w:rPr>
          <w:sz w:val="24"/>
          <w:szCs w:val="24"/>
        </w:rPr>
        <w:instrText>ADDIN CSL_CITATION {"citationItems":[{"id":"ITEM-1","itemData":{"DOI":"10.1108/ILS-04-2020-0114","ISSN":"23985348","abstract":"Purpose: Many teachers and students in the USA and various parts of the world are migrating some aspects of education online out of necessity. The purpose of this paper is to identify and describe strategies of the self-regulated learning (SRL) framework for K-12 students learning in online environments to support remote learning with online and digital tools during the COVID-19 pandemic. Design/methodology/approach: The SRL framework (Zimmerman, 2008) has been used consistently to support students in learning to work independently. This framework highlights three phases: planning, performing and evaluating. Previous research in K-12 online learning has yielded specific strategies that are useful. The paper identified and described the strategies to an audience seeking answers on how to meet the needs of students in online learning environment. Findings: The main types of strategies that have emerged from previous studies include asking students to consider how they learn online, providing pacing support, monitoring engagement and supporting families. Originality/value: Although the social crisis of COVID-19 is unique, prior research in online learning may be useful for supporting teacher practice and suggesting future research. Developing SRL skills of students will ensure the effectiveness of online learning that the field of education may ultimately focus on in the future.","author":[{"dropping-particle":"","family":"Carter","given":"Richard Allen","non-dropping-particle":"","parse-names":false,"suffix":""},{"dropping-particle":"","family":"Rice","given":"Mary","non-dropping-particle":"","parse-names":false,"suffix":""},{"dropping-particle":"","family":"Yang","given":"Sohyun","non-dropping-particle":"","parse-names":false,"suffix":""},{"dropping-particle":"","family":"Jackson","given":"Haidee A.","non-dropping-particle":"","parse-names":false,"suffix":""}],"container-title":"Information and Learning Science","id":"ITEM-1","issued":{"date-parts":[["2020"]]},"title":"Self-regulated learning in online learning environments: strategies for remote learning","type":"article-journal"},"uris":["http://www.mendeley.com/documents/?uuid=caad5d64-25e1-4478-b56a-d1d6724b3cab","http://www.mendeley.com/documents/?uuid=fba20424-a297-4340-ad61-b4ec513c5f6f"]}],"mendeley":{"formattedCitation":"(Carter &lt;i&gt;et al.&lt;/i&gt;, 2020)","manualFormatting":"(Carter et al., 2020","plainTextFormattedCitation":"(Carter et al., 2020)","previouslyFormattedCitation":"(Carter &lt;i&gt;et al.&lt;/i&gt;, 2020)"},"properties":{"noteIndex":0},"schema":"https://github.com/citation-style-language/schema/raw/master/csl-citation.json"}</w:instrText>
      </w:r>
      <w:r>
        <w:rPr>
          <w:sz w:val="24"/>
          <w:szCs w:val="24"/>
        </w:rPr>
        <w:fldChar w:fldCharType="separate"/>
      </w:r>
      <w:r>
        <w:rPr>
          <w:noProof/>
          <w:sz w:val="24"/>
          <w:szCs w:val="24"/>
        </w:rPr>
        <w:t>(Carter et al., 2020</w:t>
      </w:r>
      <w:r>
        <w:rPr>
          <w:sz w:val="24"/>
          <w:szCs w:val="24"/>
        </w:rPr>
        <w:fldChar w:fldCharType="end"/>
      </w:r>
      <w:r>
        <w:rPr>
          <w:sz w:val="24"/>
          <w:szCs w:val="24"/>
        </w:rPr>
        <w:t>).</w:t>
      </w:r>
    </w:p>
    <w:p>
      <w:pPr>
        <w:pStyle w:val="style0"/>
        <w:spacing w:lineRule="auto" w:line="360"/>
        <w:jc w:val="both"/>
        <w:rPr>
          <w:b/>
          <w:bCs/>
          <w:sz w:val="24"/>
          <w:szCs w:val="24"/>
        </w:rPr>
      </w:pPr>
    </w:p>
    <w:commentRangeStart w:id="3"/>
    <w:p>
      <w:pPr>
        <w:pStyle w:val="style0"/>
        <w:spacing w:lineRule="auto" w:line="360"/>
        <w:jc w:val="both"/>
        <w:rPr>
          <w:b/>
          <w:bCs/>
          <w:sz w:val="24"/>
          <w:szCs w:val="24"/>
        </w:rPr>
      </w:pPr>
      <w:r>
        <w:rPr>
          <w:b/>
          <w:bCs/>
          <w:sz w:val="24"/>
          <w:szCs w:val="24"/>
        </w:rPr>
        <w:t>3. METHOD</w:t>
      </w:r>
      <w:commentRangeEnd w:id="3"/>
      <w:r>
        <w:rPr>
          <w:rStyle w:val="style39"/>
        </w:rPr>
        <w:commentReference w:id="3"/>
      </w:r>
    </w:p>
    <w:p>
      <w:pPr>
        <w:pStyle w:val="style0"/>
        <w:spacing w:lineRule="auto" w:line="360"/>
        <w:jc w:val="both"/>
        <w:rPr>
          <w:sz w:val="24"/>
          <w:szCs w:val="24"/>
        </w:rPr>
      </w:pPr>
      <w:r>
        <w:rPr>
          <w:sz w:val="24"/>
          <w:szCs w:val="24"/>
        </w:rPr>
        <w:t xml:space="preserve">Online learning is one of the most effective options in a pandemic situation. The relationship between online learning and class inequality was chosen as the research target for three reasons. First, online learning has become an option in addressing the difficulties experienced by both students and lecturers. The relationship between students and lecturers also changes in line with the implementation of the learning. Second, there has not been much attention to </w:t>
      </w:r>
      <w:r>
        <w:rPr>
          <w:sz w:val="24"/>
          <w:szCs w:val="24"/>
        </w:rPr>
        <w:t>analyzing</w:t>
      </w:r>
      <w:r>
        <w:rPr>
          <w:sz w:val="24"/>
          <w:szCs w:val="24"/>
        </w:rPr>
        <w:t xml:space="preserve"> the relationship between </w:t>
      </w:r>
      <w:r>
        <w:rPr>
          <w:sz w:val="24"/>
          <w:szCs w:val="24"/>
        </w:rPr>
        <w:t xml:space="preserve">learning and social class. Existing analysis shows various difficulties but does not </w:t>
      </w:r>
      <w:r>
        <w:rPr>
          <w:sz w:val="24"/>
          <w:szCs w:val="24"/>
        </w:rPr>
        <w:t>explicit</w:t>
      </w:r>
      <w:r>
        <w:rPr>
          <w:sz w:val="24"/>
          <w:szCs w:val="24"/>
        </w:rPr>
        <w:t xml:space="preserve">ly examine how </w:t>
      </w:r>
      <w:r>
        <w:rPr>
          <w:sz w:val="24"/>
          <w:szCs w:val="24"/>
        </w:rPr>
        <w:t>effective</w:t>
      </w:r>
      <w:r>
        <w:rPr>
          <w:sz w:val="24"/>
          <w:szCs w:val="24"/>
        </w:rPr>
        <w:t xml:space="preserve"> the classroom is in technology-based learning. Third, class analysis in online learning is needed to tackle class inequality more broadly. These three reasons show that a thorough understanding of the relationship between online learning during the pandemic and class inequality is a complicated and urgent issue to be followed up as the basis for policies to improve the national education system.</w:t>
      </w:r>
      <w:r>
        <w:rPr>
          <w:b/>
          <w:bCs/>
          <w:sz w:val="24"/>
          <w:szCs w:val="24"/>
        </w:rPr>
        <w:t xml:space="preserve"> </w:t>
      </w:r>
    </w:p>
    <w:p>
      <w:pPr>
        <w:pStyle w:val="style0"/>
        <w:spacing w:lineRule="auto" w:line="360"/>
        <w:jc w:val="both"/>
        <w:rPr>
          <w:sz w:val="24"/>
          <w:szCs w:val="24"/>
        </w:rPr>
      </w:pPr>
      <w:r>
        <w:rPr>
          <w:b/>
          <w:bCs/>
          <w:sz w:val="24"/>
          <w:szCs w:val="24"/>
        </w:rPr>
        <w:tab/>
      </w:r>
      <w:r>
        <w:rPr>
          <w:sz w:val="24"/>
          <w:szCs w:val="24"/>
        </w:rPr>
        <w:t>The relationship between the Covid-19 pandemic and class inequality is explained using a qualitative approach that relies on primary and secondary data. Pr</w:t>
      </w:r>
      <w:r>
        <w:rPr>
          <w:sz w:val="24"/>
          <w:szCs w:val="24"/>
        </w:rPr>
        <w:t>elimin</w:t>
      </w:r>
      <w:r>
        <w:rPr>
          <w:sz w:val="24"/>
          <w:szCs w:val="24"/>
        </w:rPr>
        <w:t xml:space="preserve">ary data consists of the </w:t>
      </w:r>
      <w:r>
        <w:rPr>
          <w:sz w:val="24"/>
          <w:szCs w:val="24"/>
        </w:rPr>
        <w:t>ongoing</w:t>
      </w:r>
      <w:r>
        <w:rPr>
          <w:sz w:val="24"/>
          <w:szCs w:val="24"/>
        </w:rPr>
        <w:t xml:space="preserve"> lecture process, types of student difficulties in learning based on socioeconomic status, variations in learning facilities/media, variations in student participation levels, and solutions taken by students for each difficulty. Secondary data consists of student family background, student attendance in learning and assignments, and statistics on student learning evaluation results. Both primary and secondary data are used </w:t>
      </w:r>
      <w:r>
        <w:rPr>
          <w:sz w:val="24"/>
          <w:szCs w:val="24"/>
        </w:rPr>
        <w:t xml:space="preserve">to </w:t>
      </w:r>
      <w:r>
        <w:rPr>
          <w:sz w:val="24"/>
          <w:szCs w:val="24"/>
        </w:rPr>
        <w:t>analyze</w:t>
      </w:r>
      <w:r>
        <w:rPr>
          <w:sz w:val="24"/>
          <w:szCs w:val="24"/>
        </w:rPr>
        <w:t xml:space="preserve"> the relationship between online learning and class inequality.</w:t>
      </w:r>
    </w:p>
    <w:bookmarkStart w:id="4" w:name="_Hlk82076366"/>
    <w:p>
      <w:pPr>
        <w:pStyle w:val="style0"/>
        <w:spacing w:lineRule="auto" w:line="360"/>
        <w:ind w:firstLine="720"/>
        <w:jc w:val="both"/>
        <w:rPr>
          <w:sz w:val="24"/>
          <w:szCs w:val="24"/>
        </w:rPr>
      </w:pPr>
      <w:r>
        <w:rPr>
          <w:sz w:val="24"/>
          <w:szCs w:val="24"/>
        </w:rPr>
        <w:t>This study involved groups of students, parents</w:t>
      </w:r>
      <w:r>
        <w:rPr>
          <w:sz w:val="24"/>
          <w:szCs w:val="24"/>
        </w:rPr>
        <w:t>,</w:t>
      </w:r>
      <w:r>
        <w:rPr>
          <w:sz w:val="24"/>
          <w:szCs w:val="24"/>
        </w:rPr>
        <w:t xml:space="preserve"> and lecturers as reported in online media. (Descriptions of the three groups were obtained from interviews and online news.) Student groups were presented in relation to their online learning experiences. Various types of student difficulties were identified through reporting and interviews. Parents of students who experience the consequences of online learning are also identified with their </w:t>
      </w:r>
      <w:r>
        <w:rPr>
          <w:sz w:val="24"/>
          <w:szCs w:val="24"/>
        </w:rPr>
        <w:t>different</w:t>
      </w:r>
      <w:r>
        <w:rPr>
          <w:sz w:val="24"/>
          <w:szCs w:val="24"/>
        </w:rPr>
        <w:t xml:space="preserve"> characteristics and types of difficulties. In addition, lecturers' roles and experiences in the teaching and learning process were also mapped during the pandemic. Lecturers, students, even parents have experienced various consequences from </w:t>
      </w:r>
      <w:r>
        <w:rPr>
          <w:sz w:val="24"/>
          <w:szCs w:val="24"/>
        </w:rPr>
        <w:t>implementing</w:t>
      </w:r>
      <w:r>
        <w:rPr>
          <w:sz w:val="24"/>
          <w:szCs w:val="24"/>
        </w:rPr>
        <w:t xml:space="preserve"> online learning. The three groups of participants were identified from direct informants to evaluate their position and experience in the online learning process during the pandemic.</w:t>
      </w:r>
    </w:p>
    <w:bookmarkEnd w:id="4"/>
    <w:p>
      <w:pPr>
        <w:pStyle w:val="style0"/>
        <w:spacing w:lineRule="auto" w:line="360"/>
        <w:jc w:val="both"/>
        <w:rPr>
          <w:sz w:val="24"/>
          <w:szCs w:val="24"/>
        </w:rPr>
      </w:pPr>
      <w:r>
        <w:rPr>
          <w:sz w:val="24"/>
          <w:szCs w:val="24"/>
        </w:rPr>
        <w:tab/>
      </w:r>
      <w:r>
        <w:rPr>
          <w:sz w:val="24"/>
          <w:szCs w:val="24"/>
        </w:rPr>
        <w:t xml:space="preserve">Research on "the relationship between online learning and class inequality" took place through the stages of collecting secondary data, online news data, interviewing students and parents of students. First, secondary data is collected through statistics. The research was conducted at five Islamic universities in East Java - Indonesia, namely State Islamic University </w:t>
      </w:r>
      <w:r>
        <w:rPr>
          <w:sz w:val="24"/>
          <w:szCs w:val="24"/>
        </w:rPr>
        <w:t>Satu</w:t>
      </w:r>
      <w:r>
        <w:rPr>
          <w:sz w:val="24"/>
          <w:szCs w:val="24"/>
        </w:rPr>
        <w:t xml:space="preserve"> </w:t>
      </w:r>
      <w:r>
        <w:rPr>
          <w:sz w:val="24"/>
          <w:szCs w:val="24"/>
        </w:rPr>
        <w:t>Tulungagung</w:t>
      </w:r>
      <w:r>
        <w:rPr>
          <w:sz w:val="24"/>
          <w:szCs w:val="24"/>
        </w:rPr>
        <w:t xml:space="preserve">, State Islamic University Malang, Islamic University Malang, </w:t>
      </w:r>
      <w:r>
        <w:rPr>
          <w:sz w:val="24"/>
          <w:szCs w:val="24"/>
        </w:rPr>
        <w:t>Panca</w:t>
      </w:r>
      <w:r>
        <w:rPr>
          <w:sz w:val="24"/>
          <w:szCs w:val="24"/>
        </w:rPr>
        <w:t xml:space="preserve"> </w:t>
      </w:r>
      <w:r>
        <w:rPr>
          <w:sz w:val="24"/>
          <w:szCs w:val="24"/>
        </w:rPr>
        <w:t>Marga</w:t>
      </w:r>
      <w:r>
        <w:rPr>
          <w:sz w:val="24"/>
          <w:szCs w:val="24"/>
        </w:rPr>
        <w:t xml:space="preserve"> University </w:t>
      </w:r>
      <w:r>
        <w:rPr>
          <w:sz w:val="24"/>
          <w:szCs w:val="24"/>
        </w:rPr>
        <w:t>Probolinggo</w:t>
      </w:r>
      <w:r>
        <w:rPr>
          <w:sz w:val="24"/>
          <w:szCs w:val="24"/>
        </w:rPr>
        <w:t>,</w:t>
      </w:r>
      <w:r>
        <w:rPr>
          <w:sz w:val="24"/>
          <w:szCs w:val="24"/>
        </w:rPr>
        <w:t xml:space="preserve"> and </w:t>
      </w:r>
      <w:r>
        <w:rPr>
          <w:sz w:val="24"/>
          <w:szCs w:val="24"/>
        </w:rPr>
        <w:t>High School</w:t>
      </w:r>
      <w:r>
        <w:rPr>
          <w:sz w:val="24"/>
          <w:szCs w:val="24"/>
        </w:rPr>
        <w:t xml:space="preserve"> of</w:t>
      </w:r>
      <w:r>
        <w:rPr>
          <w:sz w:val="24"/>
          <w:szCs w:val="24"/>
        </w:rPr>
        <w:t xml:space="preserve"> </w:t>
      </w:r>
      <w:r>
        <w:rPr>
          <w:i/>
          <w:iCs/>
          <w:sz w:val="24"/>
          <w:szCs w:val="24"/>
        </w:rPr>
        <w:t>Almuslihuun</w:t>
      </w:r>
      <w:r>
        <w:rPr>
          <w:sz w:val="24"/>
          <w:szCs w:val="24"/>
        </w:rPr>
        <w:t xml:space="preserve"> </w:t>
      </w:r>
      <w:r>
        <w:rPr>
          <w:sz w:val="24"/>
          <w:szCs w:val="24"/>
        </w:rPr>
        <w:t>Tarbiah</w:t>
      </w:r>
      <w:r>
        <w:rPr>
          <w:sz w:val="24"/>
          <w:szCs w:val="24"/>
        </w:rPr>
        <w:t xml:space="preserve"> </w:t>
      </w:r>
      <w:r>
        <w:rPr>
          <w:sz w:val="24"/>
          <w:szCs w:val="24"/>
        </w:rPr>
        <w:t>Science</w:t>
      </w:r>
      <w:r>
        <w:rPr>
          <w:sz w:val="24"/>
          <w:szCs w:val="24"/>
        </w:rPr>
        <w:t>Blitar</w:t>
      </w:r>
      <w:r>
        <w:rPr>
          <w:sz w:val="24"/>
          <w:szCs w:val="24"/>
        </w:rPr>
        <w:t>. In every university, student data is stored</w:t>
      </w:r>
      <w:r>
        <w:rPr>
          <w:sz w:val="24"/>
          <w:szCs w:val="24"/>
        </w:rPr>
        <w:t>,</w:t>
      </w:r>
      <w:r>
        <w:rPr>
          <w:sz w:val="24"/>
          <w:szCs w:val="24"/>
        </w:rPr>
        <w:t xml:space="preserve"> which is generally updated every year. Second, data sourced from online news is collected </w:t>
      </w:r>
      <w:r>
        <w:rPr>
          <w:sz w:val="24"/>
          <w:szCs w:val="24"/>
        </w:rPr>
        <w:t xml:space="preserve">through topical news mapping involving students, parents, and lecturers </w:t>
      </w:r>
      <w:r>
        <w:rPr>
          <w:sz w:val="24"/>
          <w:szCs w:val="24"/>
        </w:rPr>
        <w:t>during the pandemic's online education process</w:t>
      </w:r>
      <w:r>
        <w:rPr>
          <w:sz w:val="24"/>
          <w:szCs w:val="24"/>
        </w:rPr>
        <w:t>. Third, this paper is complemented by interviews with lecturers, students</w:t>
      </w:r>
      <w:r>
        <w:rPr>
          <w:sz w:val="24"/>
          <w:szCs w:val="24"/>
        </w:rPr>
        <w:t>,</w:t>
      </w:r>
      <w:r>
        <w:rPr>
          <w:sz w:val="24"/>
          <w:szCs w:val="24"/>
        </w:rPr>
        <w:t xml:space="preserve"> and parents of students at five universities</w:t>
      </w:r>
      <w:r>
        <w:rPr>
          <w:sz w:val="24"/>
          <w:szCs w:val="24"/>
        </w:rPr>
        <w:t>. Three</w:t>
      </w:r>
      <w:r>
        <w:rPr>
          <w:sz w:val="24"/>
          <w:szCs w:val="24"/>
        </w:rPr>
        <w:t xml:space="preserve"> informants were taken from each college, namely lecturers, students</w:t>
      </w:r>
      <w:r>
        <w:rPr>
          <w:sz w:val="24"/>
          <w:szCs w:val="24"/>
        </w:rPr>
        <w:t>,</w:t>
      </w:r>
      <w:r>
        <w:rPr>
          <w:sz w:val="24"/>
          <w:szCs w:val="24"/>
        </w:rPr>
        <w:t xml:space="preserve"> and parents of students. </w:t>
      </w:r>
      <w:r>
        <w:rPr>
          <w:sz w:val="24"/>
          <w:szCs w:val="24"/>
        </w:rPr>
        <w:t>S</w:t>
      </w:r>
      <w:r>
        <w:rPr>
          <w:sz w:val="24"/>
          <w:szCs w:val="24"/>
        </w:rPr>
        <w:t>tudents and their parents receive the direct consequences of implementing learning technology during the pandemic.</w:t>
      </w:r>
    </w:p>
    <w:p>
      <w:pPr>
        <w:pStyle w:val="style0"/>
        <w:spacing w:lineRule="auto" w:line="360"/>
        <w:jc w:val="both"/>
        <w:rPr>
          <w:sz w:val="24"/>
          <w:szCs w:val="24"/>
        </w:rPr>
      </w:pPr>
      <w:r>
        <w:rPr>
          <w:sz w:val="24"/>
          <w:szCs w:val="24"/>
        </w:rPr>
        <w:tab/>
      </w:r>
      <w:r>
        <w:rPr>
          <w:sz w:val="24"/>
          <w:szCs w:val="24"/>
        </w:rPr>
        <w:t xml:space="preserve">The data analysis process was carried out through three stages and two analysis techniques. The three stages of analysis include: “(a) data reduction as a governance process in a more systematic form, especially thematically; (b) displaying data as an effort to present research results in the form of tables and graphs (in the form of interview excerpts); and (c) data verification as a data conclusion stage, especially following the trend of the data obtained.” The data processed through these three stages were </w:t>
      </w:r>
      <w:r>
        <w:rPr>
          <w:sz w:val="24"/>
          <w:szCs w:val="24"/>
        </w:rPr>
        <w:t>analyzed</w:t>
      </w:r>
      <w:r>
        <w:rPr>
          <w:sz w:val="24"/>
          <w:szCs w:val="24"/>
        </w:rPr>
        <w:t xml:space="preserve"> </w:t>
      </w:r>
      <w:r>
        <w:rPr>
          <w:sz w:val="24"/>
          <w:szCs w:val="24"/>
        </w:rPr>
        <w:t>using descriptive</w:t>
      </w:r>
      <w:r>
        <w:rPr>
          <w:sz w:val="24"/>
          <w:szCs w:val="24"/>
        </w:rPr>
        <w:t xml:space="preserve"> and content analysis. Description of the data as the basis for the interpretation process carried out contextually. Content analysis is carried out following the proce</w:t>
      </w:r>
      <w:r>
        <w:rPr>
          <w:sz w:val="24"/>
          <w:szCs w:val="24"/>
        </w:rPr>
        <w:t>dure</w:t>
      </w:r>
      <w:r>
        <w:rPr>
          <w:sz w:val="24"/>
          <w:szCs w:val="24"/>
        </w:rPr>
        <w:t xml:space="preserve"> </w:t>
      </w:r>
      <w:r>
        <w:rPr>
          <w:sz w:val="24"/>
          <w:szCs w:val="24"/>
        </w:rPr>
        <w:t>Spradley</w:t>
      </w:r>
      <w:r>
        <w:rPr>
          <w:sz w:val="24"/>
          <w:szCs w:val="24"/>
        </w:rPr>
        <w:t xml:space="preserve"> (2000) indicated</w:t>
      </w:r>
      <w:r>
        <w:rPr>
          <w:sz w:val="24"/>
          <w:szCs w:val="24"/>
        </w:rPr>
        <w:t>.</w:t>
      </w:r>
      <w:r>
        <w:t xml:space="preserve"> </w:t>
      </w:r>
      <w:r>
        <w:rPr>
          <w:sz w:val="24"/>
          <w:szCs w:val="24"/>
        </w:rPr>
        <w:t xml:space="preserve">The </w:t>
      </w:r>
      <w:r>
        <w:rPr>
          <w:sz w:val="24"/>
          <w:szCs w:val="24"/>
        </w:rPr>
        <w:t>analysis and analytical techniques stages</w:t>
      </w:r>
      <w:r>
        <w:rPr>
          <w:sz w:val="24"/>
          <w:szCs w:val="24"/>
        </w:rPr>
        <w:t xml:space="preserve"> allow conclusions to be drawn on the relationship between online learning and class inequality during the Corona pandemic.</w:t>
      </w:r>
      <w:r>
        <w:rPr>
          <w:sz w:val="24"/>
          <w:szCs w:val="24"/>
        </w:rPr>
        <w:t xml:space="preserve"> </w:t>
      </w:r>
      <w:bookmarkStart w:id="5" w:name="_Hlk92532586"/>
    </w:p>
    <w:p>
      <w:pPr>
        <w:pStyle w:val="style0"/>
        <w:spacing w:lineRule="auto" w:line="360"/>
        <w:jc w:val="both"/>
        <w:rPr>
          <w:sz w:val="24"/>
          <w:szCs w:val="24"/>
        </w:rPr>
      </w:pPr>
    </w:p>
    <w:commentRangeStart w:id="4"/>
    <w:p>
      <w:pPr>
        <w:pStyle w:val="style0"/>
        <w:spacing w:lineRule="auto" w:line="360"/>
        <w:jc w:val="both"/>
        <w:rPr>
          <w:b/>
          <w:bCs/>
          <w:sz w:val="24"/>
          <w:szCs w:val="24"/>
        </w:rPr>
      </w:pPr>
      <w:r>
        <w:rPr>
          <w:b/>
          <w:bCs/>
          <w:sz w:val="24"/>
          <w:szCs w:val="24"/>
        </w:rPr>
        <w:t>4. RESULT</w:t>
      </w:r>
      <w:commentRangeEnd w:id="4"/>
      <w:r>
        <w:rPr>
          <w:rStyle w:val="style39"/>
        </w:rPr>
        <w:commentReference w:id="4"/>
      </w:r>
    </w:p>
    <w:bookmarkStart w:id="6" w:name="_Hlk92532477"/>
    <w:bookmarkEnd w:id="5"/>
    <w:p>
      <w:pPr>
        <w:pStyle w:val="style0"/>
        <w:spacing w:lineRule="auto" w:line="360"/>
        <w:rPr>
          <w:b/>
          <w:bCs/>
          <w:sz w:val="24"/>
          <w:szCs w:val="24"/>
          <w:lang w:val="ms-MY"/>
        </w:rPr>
      </w:pPr>
      <w:r>
        <w:rPr>
          <w:b/>
          <w:bCs/>
          <w:sz w:val="24"/>
          <w:szCs w:val="24"/>
          <w:lang w:val="ms-MY"/>
        </w:rPr>
        <w:t xml:space="preserve">4.1 </w:t>
      </w:r>
      <w:r>
        <w:rPr>
          <w:b/>
          <w:bCs/>
          <w:sz w:val="24"/>
          <w:szCs w:val="24"/>
          <w:lang w:val="ms-MY"/>
        </w:rPr>
        <w:t>Class Inequality in Online Education</w:t>
      </w:r>
    </w:p>
    <w:p>
      <w:pPr>
        <w:pStyle w:val="style0"/>
        <w:spacing w:lineRule="auto" w:line="360"/>
        <w:jc w:val="both"/>
        <w:rPr>
          <w:b/>
          <w:bCs/>
          <w:sz w:val="24"/>
          <w:szCs w:val="24"/>
          <w:lang w:val="ms-MY"/>
        </w:rPr>
      </w:pPr>
      <w:r>
        <w:rPr>
          <w:b/>
          <w:bCs/>
          <w:sz w:val="24"/>
          <w:szCs w:val="24"/>
          <w:lang w:val="ms-MY"/>
        </w:rPr>
        <w:t>(a) Equipment/Android Inequality</w:t>
      </w:r>
    </w:p>
    <w:bookmarkEnd w:id="6"/>
    <w:p>
      <w:pPr>
        <w:pStyle w:val="style0"/>
        <w:spacing w:lineRule="auto" w:line="360"/>
        <w:ind w:firstLine="720"/>
        <w:jc w:val="both"/>
        <w:rPr>
          <w:sz w:val="24"/>
          <w:szCs w:val="24"/>
        </w:rPr>
      </w:pPr>
      <w:r>
        <w:rPr>
          <w:sz w:val="24"/>
          <w:szCs w:val="24"/>
        </w:rPr>
        <w:t xml:space="preserve">During the </w:t>
      </w:r>
      <w:r>
        <w:rPr>
          <w:sz w:val="24"/>
          <w:szCs w:val="24"/>
        </w:rPr>
        <w:t>Covid</w:t>
      </w:r>
      <w:r>
        <w:rPr>
          <w:sz w:val="24"/>
          <w:szCs w:val="24"/>
        </w:rPr>
        <w:t xml:space="preserve"> 19 pandemic, online education caused class inequality caused by their limited learning equipment</w:t>
      </w:r>
      <w:r>
        <w:rPr>
          <w:sz w:val="24"/>
          <w:szCs w:val="24"/>
        </w:rPr>
        <w:t xml:space="preserve">. </w:t>
      </w:r>
      <w:r>
        <w:rPr>
          <w:sz w:val="24"/>
          <w:szCs w:val="24"/>
        </w:rPr>
        <w:t>There are no significant obstacles for students from the upper-middle-class group due to sufficient facilities,</w:t>
      </w:r>
      <w:r>
        <w:rPr>
          <w:sz w:val="24"/>
          <w:szCs w:val="24"/>
        </w:rPr>
        <w:t xml:space="preserve"> the </w:t>
      </w:r>
      <w:r>
        <w:rPr>
          <w:sz w:val="24"/>
          <w:szCs w:val="24"/>
        </w:rPr>
        <w:t>fulfillment</w:t>
      </w:r>
      <w:r>
        <w:rPr>
          <w:sz w:val="24"/>
          <w:szCs w:val="24"/>
        </w:rPr>
        <w:t xml:space="preserve"> of quotas</w:t>
      </w:r>
      <w:r>
        <w:rPr>
          <w:sz w:val="24"/>
          <w:szCs w:val="24"/>
        </w:rPr>
        <w:t>,</w:t>
      </w:r>
      <w:r>
        <w:rPr>
          <w:sz w:val="24"/>
          <w:szCs w:val="24"/>
        </w:rPr>
        <w:t xml:space="preserve"> and adequate internet signals. They easily follow every learning activity and will run far beyond students from poor groups. </w:t>
      </w:r>
      <w:r>
        <w:rPr>
          <w:sz w:val="24"/>
          <w:szCs w:val="24"/>
        </w:rPr>
        <w:t>Zaki</w:t>
      </w:r>
      <w:r>
        <w:rPr>
          <w:sz w:val="24"/>
          <w:szCs w:val="24"/>
        </w:rPr>
        <w:t xml:space="preserve"> (Informant 1, 18 years)</w:t>
      </w:r>
      <w:r>
        <w:rPr>
          <w:sz w:val="24"/>
          <w:szCs w:val="24"/>
        </w:rPr>
        <w:t>,</w:t>
      </w:r>
      <w:r>
        <w:rPr>
          <w:sz w:val="24"/>
          <w:szCs w:val="24"/>
        </w:rPr>
        <w:t xml:space="preserve"> a student of the State Islamic University of </w:t>
      </w:r>
      <w:r>
        <w:rPr>
          <w:i/>
          <w:iCs/>
          <w:sz w:val="24"/>
          <w:szCs w:val="24"/>
        </w:rPr>
        <w:t>Satu</w:t>
      </w:r>
      <w:r>
        <w:rPr>
          <w:sz w:val="24"/>
          <w:szCs w:val="24"/>
        </w:rPr>
        <w:t xml:space="preserve"> </w:t>
      </w:r>
      <w:r>
        <w:rPr>
          <w:sz w:val="24"/>
          <w:szCs w:val="24"/>
        </w:rPr>
        <w:t>Tulungagung</w:t>
      </w:r>
      <w:r>
        <w:rPr>
          <w:sz w:val="24"/>
          <w:szCs w:val="24"/>
        </w:rPr>
        <w:t>,</w:t>
      </w:r>
      <w:r>
        <w:rPr>
          <w:sz w:val="24"/>
          <w:szCs w:val="24"/>
        </w:rPr>
        <w:t xml:space="preserve"> expressed his anxiety over the imbalance of equipment/android used by students:</w:t>
      </w:r>
    </w:p>
    <w:p>
      <w:pPr>
        <w:pStyle w:val="style0"/>
        <w:spacing w:lineRule="auto" w:line="240"/>
        <w:ind w:left="720"/>
        <w:jc w:val="both"/>
        <w:rPr>
          <w:i/>
          <w:iCs/>
          <w:color w:val="000000"/>
          <w:sz w:val="24"/>
          <w:szCs w:val="24"/>
          <w:shd w:val="clear" w:color="auto" w:fill="ffffff"/>
        </w:rPr>
      </w:pPr>
      <w:r>
        <w:rPr>
          <w:i/>
          <w:iCs/>
          <w:color w:val="000000"/>
          <w:sz w:val="24"/>
          <w:szCs w:val="24"/>
          <w:shd w:val="clear" w:color="auto" w:fill="ffffff"/>
        </w:rPr>
        <w:t>The use of learning support equipment</w:t>
      </w:r>
      <w:r>
        <w:rPr>
          <w:i/>
          <w:iCs/>
          <w:color w:val="000000"/>
          <w:sz w:val="24"/>
          <w:szCs w:val="24"/>
          <w:shd w:val="clear" w:color="auto" w:fill="ffffff"/>
        </w:rPr>
        <w:t>, better known as smartphones,</w:t>
      </w:r>
      <w:r>
        <w:rPr>
          <w:i/>
          <w:iCs/>
          <w:color w:val="000000"/>
          <w:sz w:val="24"/>
          <w:szCs w:val="24"/>
          <w:shd w:val="clear" w:color="auto" w:fill="ffffff"/>
        </w:rPr>
        <w:t xml:space="preserve"> seems that not all students can access/buy them</w:t>
      </w:r>
      <w:r>
        <w:rPr>
          <w:i/>
          <w:iCs/>
          <w:color w:val="000000"/>
          <w:sz w:val="24"/>
          <w:szCs w:val="24"/>
          <w:shd w:val="clear" w:color="auto" w:fill="ffffff"/>
        </w:rPr>
        <w:t>. I</w:t>
      </w:r>
      <w:r>
        <w:rPr>
          <w:i/>
          <w:iCs/>
          <w:color w:val="000000"/>
          <w:sz w:val="24"/>
          <w:szCs w:val="24"/>
          <w:shd w:val="clear" w:color="auto" w:fill="ffffff"/>
        </w:rPr>
        <w:t>t is related to economic problems, for example</w:t>
      </w:r>
      <w:r>
        <w:rPr>
          <w:i/>
          <w:iCs/>
          <w:color w:val="000000"/>
          <w:sz w:val="24"/>
          <w:szCs w:val="24"/>
          <w:shd w:val="clear" w:color="auto" w:fill="ffffff"/>
        </w:rPr>
        <w:t>,</w:t>
      </w:r>
      <w:r>
        <w:rPr>
          <w:i/>
          <w:iCs/>
          <w:color w:val="000000"/>
          <w:sz w:val="24"/>
          <w:szCs w:val="24"/>
          <w:shd w:val="clear" w:color="auto" w:fill="ffffff"/>
        </w:rPr>
        <w:t xml:space="preserve"> for groups of poor students, let alone Smartphones for them to eat sometimes they have to work hard all day. Meanwhile, the group of students, children of the rich, had no difficulty buying androids with high capacity and good quality so that they could freely access a lot of material from lecturers and additional material from Google”. (I. 1. 15.08.21) </w:t>
      </w:r>
    </w:p>
    <w:p>
      <w:pPr>
        <w:pStyle w:val="style0"/>
        <w:spacing w:lineRule="auto" w:line="240"/>
        <w:jc w:val="both"/>
        <w:rPr>
          <w:sz w:val="24"/>
          <w:szCs w:val="24"/>
        </w:rPr>
      </w:pPr>
    </w:p>
    <w:p>
      <w:pPr>
        <w:pStyle w:val="style0"/>
        <w:spacing w:lineRule="auto" w:line="360"/>
        <w:ind w:firstLine="720"/>
        <w:jc w:val="both"/>
        <w:rPr>
          <w:sz w:val="24"/>
          <w:szCs w:val="24"/>
        </w:rPr>
      </w:pPr>
      <w:r>
        <w:rPr>
          <w:sz w:val="24"/>
          <w:szCs w:val="24"/>
        </w:rPr>
        <w:t xml:space="preserve">The incident above proves that class inequality occurs between rich and poor student groups, this is confirmed by the statement of a lecturer at the State Islamic University of Malang </w:t>
      </w:r>
      <w:r>
        <w:rPr>
          <w:sz w:val="24"/>
          <w:szCs w:val="24"/>
        </w:rPr>
        <w:t>Angga</w:t>
      </w:r>
      <w:r>
        <w:rPr>
          <w:sz w:val="24"/>
          <w:szCs w:val="24"/>
        </w:rPr>
        <w:t xml:space="preserve"> (Informant 3, 37 years):</w:t>
      </w:r>
    </w:p>
    <w:p>
      <w:pPr>
        <w:pStyle w:val="style179"/>
        <w:jc w:val="both"/>
        <w:rPr>
          <w:rFonts w:cs="Times New Roman"/>
          <w:bCs/>
          <w:szCs w:val="24"/>
          <w:lang w:val="ms-MY"/>
        </w:rPr>
      </w:pPr>
      <w:r>
        <w:rPr>
          <w:rFonts w:cs="Times New Roman"/>
          <w:bCs/>
          <w:szCs w:val="24"/>
          <w:lang w:val="ms-MY"/>
        </w:rPr>
        <w:t xml:space="preserve">“Incidentally, I teach at a well-known university in Malang where </w:t>
      </w:r>
      <w:r>
        <w:rPr>
          <w:rFonts w:cs="Times New Roman"/>
          <w:bCs/>
          <w:szCs w:val="24"/>
          <w:lang w:val="ms-MY"/>
        </w:rPr>
        <w:t>most</w:t>
      </w:r>
      <w:r>
        <w:rPr>
          <w:rFonts w:cs="Times New Roman"/>
          <w:bCs/>
          <w:szCs w:val="24"/>
          <w:lang w:val="ms-MY"/>
        </w:rPr>
        <w:t xml:space="preserve"> students are middle and upper economic class</w:t>
      </w:r>
      <w:r>
        <w:rPr>
          <w:rFonts w:cs="Times New Roman"/>
          <w:bCs/>
          <w:szCs w:val="24"/>
          <w:lang w:val="ms-MY"/>
        </w:rPr>
        <w:t>,</w:t>
      </w:r>
      <w:r>
        <w:rPr>
          <w:rFonts w:cs="Times New Roman"/>
          <w:bCs/>
          <w:szCs w:val="24"/>
          <w:lang w:val="ms-MY"/>
        </w:rPr>
        <w:t xml:space="preserve"> and I don't find any discrepancies in the equipment used by students when accessing the courses I teach. This is because almost every student does not show the cellphone or Android used to access my lectures. I use YouTube because it is easy for me to access</w:t>
      </w:r>
      <w:r>
        <w:rPr>
          <w:rFonts w:cs="Times New Roman"/>
          <w:bCs/>
          <w:szCs w:val="24"/>
          <w:lang w:val="ms-MY"/>
        </w:rPr>
        <w:t xml:space="preserve"> and easy</w:t>
      </w:r>
      <w:r>
        <w:rPr>
          <w:rFonts w:cs="Times New Roman"/>
          <w:bCs/>
          <w:szCs w:val="24"/>
          <w:lang w:val="ms-MY"/>
        </w:rPr>
        <w:t xml:space="preserve"> to add material</w:t>
      </w:r>
      <w:r>
        <w:rPr>
          <w:rFonts w:cs="Times New Roman"/>
          <w:bCs/>
          <w:szCs w:val="24"/>
          <w:lang w:val="ms-MY"/>
        </w:rPr>
        <w:t>. S</w:t>
      </w:r>
      <w:r>
        <w:rPr>
          <w:rFonts w:cs="Times New Roman"/>
          <w:bCs/>
          <w:szCs w:val="24"/>
          <w:lang w:val="ms-MY"/>
        </w:rPr>
        <w:t>tudents can learn anytime,</w:t>
      </w:r>
      <w:r>
        <w:rPr>
          <w:rFonts w:cs="Times New Roman"/>
          <w:bCs/>
          <w:szCs w:val="24"/>
          <w:lang w:val="ms-MY"/>
        </w:rPr>
        <w:t xml:space="preserve"> and</w:t>
      </w:r>
      <w:r>
        <w:rPr>
          <w:rFonts w:cs="Times New Roman"/>
          <w:bCs/>
          <w:szCs w:val="24"/>
          <w:lang w:val="ms-MY"/>
        </w:rPr>
        <w:t xml:space="preserve"> this is at the same time growing my YouTube channel so that the material I provide is </w:t>
      </w:r>
      <w:r>
        <w:rPr>
          <w:rFonts w:cs="Times New Roman"/>
          <w:bCs/>
          <w:szCs w:val="24"/>
          <w:lang w:val="ms-MY"/>
        </w:rPr>
        <w:t>studied by students in my class and</w:t>
      </w:r>
      <w:r>
        <w:rPr>
          <w:rFonts w:cs="Times New Roman"/>
          <w:bCs/>
          <w:szCs w:val="24"/>
          <w:lang w:val="ms-MY"/>
        </w:rPr>
        <w:t xml:space="preserve"> by other students, both inside and outside the classroom. campus and off</w:t>
      </w:r>
      <w:r>
        <w:rPr>
          <w:rFonts w:cs="Times New Roman"/>
          <w:bCs/>
          <w:szCs w:val="24"/>
          <w:lang w:val="ms-MY"/>
        </w:rPr>
        <w:t>-</w:t>
      </w:r>
      <w:r>
        <w:rPr>
          <w:rFonts w:cs="Times New Roman"/>
          <w:bCs/>
          <w:szCs w:val="24"/>
          <w:lang w:val="ms-MY"/>
        </w:rPr>
        <w:t xml:space="preserve">campus. (II. 3.16.08.21) </w:t>
      </w:r>
    </w:p>
    <w:p>
      <w:pPr>
        <w:pStyle w:val="style0"/>
        <w:spacing w:lineRule="auto" w:line="240"/>
        <w:jc w:val="both"/>
        <w:rPr>
          <w:i/>
          <w:iCs/>
          <w:sz w:val="24"/>
          <w:szCs w:val="24"/>
        </w:rPr>
      </w:pPr>
    </w:p>
    <w:p>
      <w:pPr>
        <w:pStyle w:val="style0"/>
        <w:spacing w:lineRule="auto" w:line="360"/>
        <w:ind w:firstLine="720"/>
        <w:jc w:val="both"/>
        <w:rPr>
          <w:color w:val="212529"/>
          <w:sz w:val="24"/>
          <w:szCs w:val="24"/>
          <w:shd w:val="clear" w:color="auto" w:fill="ffffff"/>
        </w:rPr>
      </w:pPr>
      <w:r>
        <w:rPr>
          <w:color w:val="212529"/>
          <w:sz w:val="24"/>
          <w:szCs w:val="24"/>
          <w:shd w:val="clear" w:color="auto" w:fill="ffffff"/>
        </w:rPr>
        <w:t>Real inequality in the world of higher education in Indonesia during the Covid-19 pandemic, as revealed by one social media, is as follows:</w:t>
      </w:r>
    </w:p>
    <w:p>
      <w:pPr>
        <w:pStyle w:val="style0"/>
        <w:spacing w:lineRule="auto" w:line="240"/>
        <w:ind w:left="720"/>
        <w:jc w:val="both"/>
        <w:rPr>
          <w:i/>
          <w:iCs/>
          <w:color w:val="212529"/>
          <w:sz w:val="24"/>
          <w:szCs w:val="24"/>
          <w:shd w:val="clear" w:color="auto" w:fill="ffffff"/>
        </w:rPr>
      </w:pPr>
      <w:r>
        <w:rPr>
          <w:i/>
          <w:iCs/>
          <w:color w:val="212529"/>
          <w:sz w:val="24"/>
          <w:szCs w:val="24"/>
          <w:shd w:val="clear" w:color="auto" w:fill="ffffff"/>
        </w:rPr>
        <w:t xml:space="preserve">“Nearly 69 million children lost access to education and learning during the community gathering. However, many students and students from well-to-do families find it easier to study remotely. The research found that only 40% of Indonesians have internet access. It is increasingly opening the veil of communication infrastructure inequality, especially outside Java. Even in Jakarta, the gap in access to distance learning during this pandemic is evident. </w:t>
      </w:r>
      <w:r>
        <w:rPr>
          <w:i/>
          <w:iCs/>
          <w:color w:val="212529"/>
          <w:sz w:val="24"/>
          <w:szCs w:val="24"/>
          <w:shd w:val="clear" w:color="auto" w:fill="ffffff"/>
        </w:rPr>
        <w:t>Khoirin</w:t>
      </w:r>
      <w:r>
        <w:rPr>
          <w:i/>
          <w:iCs/>
          <w:color w:val="212529"/>
          <w:sz w:val="24"/>
          <w:szCs w:val="24"/>
          <w:shd w:val="clear" w:color="auto" w:fill="ffffff"/>
        </w:rPr>
        <w:t xml:space="preserve"> </w:t>
      </w:r>
      <w:r>
        <w:rPr>
          <w:i/>
          <w:iCs/>
          <w:color w:val="212529"/>
          <w:sz w:val="24"/>
          <w:szCs w:val="24"/>
          <w:shd w:val="clear" w:color="auto" w:fill="ffffff"/>
        </w:rPr>
        <w:t>Dava</w:t>
      </w:r>
      <w:r>
        <w:rPr>
          <w:i/>
          <w:iCs/>
          <w:color w:val="212529"/>
          <w:sz w:val="24"/>
          <w:szCs w:val="24"/>
          <w:shd w:val="clear" w:color="auto" w:fill="ffffff"/>
        </w:rPr>
        <w:t xml:space="preserve">, a grade 1 student </w:t>
      </w:r>
      <w:r>
        <w:rPr>
          <w:i/>
          <w:iCs/>
          <w:color w:val="212529"/>
          <w:sz w:val="24"/>
          <w:szCs w:val="24"/>
          <w:shd w:val="clear" w:color="auto" w:fill="ffffff"/>
        </w:rPr>
        <w:t xml:space="preserve">at the 03 </w:t>
      </w:r>
      <w:r>
        <w:rPr>
          <w:i/>
          <w:iCs/>
          <w:color w:val="212529"/>
          <w:sz w:val="24"/>
          <w:szCs w:val="24"/>
          <w:shd w:val="clear" w:color="auto" w:fill="ffffff"/>
        </w:rPr>
        <w:t>Ancol</w:t>
      </w:r>
      <w:r>
        <w:rPr>
          <w:i/>
          <w:iCs/>
          <w:color w:val="212529"/>
          <w:sz w:val="24"/>
          <w:szCs w:val="24"/>
          <w:shd w:val="clear" w:color="auto" w:fill="ffffff"/>
        </w:rPr>
        <w:t xml:space="preserve"> State Elementary School, North Jakarta,</w:t>
      </w:r>
      <w:r>
        <w:rPr>
          <w:i/>
          <w:iCs/>
          <w:color w:val="212529"/>
          <w:sz w:val="24"/>
          <w:szCs w:val="24"/>
          <w:shd w:val="clear" w:color="auto" w:fill="ffffff"/>
        </w:rPr>
        <w:t xml:space="preserve"> </w:t>
      </w:r>
      <w:r>
        <w:rPr>
          <w:i/>
          <w:iCs/>
          <w:color w:val="212529"/>
          <w:sz w:val="24"/>
          <w:szCs w:val="24"/>
          <w:shd w:val="clear" w:color="auto" w:fill="ffffff"/>
        </w:rPr>
        <w:t>could not</w:t>
      </w:r>
      <w:r>
        <w:rPr>
          <w:i/>
          <w:iCs/>
          <w:color w:val="212529"/>
          <w:sz w:val="24"/>
          <w:szCs w:val="24"/>
          <w:shd w:val="clear" w:color="auto" w:fill="ffffff"/>
        </w:rPr>
        <w:t xml:space="preserve"> participate in online learning because his family did not have a cell phone. Last July, during her first semester, </w:t>
      </w:r>
      <w:r>
        <w:rPr>
          <w:i/>
          <w:iCs/>
          <w:color w:val="212529"/>
          <w:sz w:val="24"/>
          <w:szCs w:val="24"/>
          <w:shd w:val="clear" w:color="auto" w:fill="ffffff"/>
        </w:rPr>
        <w:t>Dava</w:t>
      </w:r>
      <w:r>
        <w:rPr>
          <w:i/>
          <w:iCs/>
          <w:color w:val="212529"/>
          <w:sz w:val="24"/>
          <w:szCs w:val="24"/>
          <w:shd w:val="clear" w:color="auto" w:fill="ffffff"/>
        </w:rPr>
        <w:t xml:space="preserve"> reported to her teacher that she had not been able to attend online school. The teacher understood and suggested </w:t>
      </w:r>
      <w:r>
        <w:rPr>
          <w:i/>
          <w:iCs/>
          <w:color w:val="212529"/>
          <w:sz w:val="24"/>
          <w:szCs w:val="24"/>
          <w:shd w:val="clear" w:color="auto" w:fill="ffffff"/>
        </w:rPr>
        <w:t>Dava</w:t>
      </w:r>
      <w:r>
        <w:rPr>
          <w:i/>
          <w:iCs/>
          <w:color w:val="212529"/>
          <w:sz w:val="24"/>
          <w:szCs w:val="24"/>
          <w:shd w:val="clear" w:color="auto" w:fill="ffffff"/>
        </w:rPr>
        <w:t xml:space="preserve"> borrow a cell phone from a </w:t>
      </w:r>
      <w:r>
        <w:rPr>
          <w:i/>
          <w:iCs/>
          <w:color w:val="212529"/>
          <w:sz w:val="24"/>
          <w:szCs w:val="24"/>
          <w:shd w:val="clear" w:color="auto" w:fill="ffffff"/>
        </w:rPr>
        <w:t>neighbor</w:t>
      </w:r>
      <w:r>
        <w:rPr>
          <w:i/>
          <w:iCs/>
          <w:color w:val="212529"/>
          <w:sz w:val="24"/>
          <w:szCs w:val="24"/>
          <w:shd w:val="clear" w:color="auto" w:fill="ffffff"/>
        </w:rPr>
        <w:t>" (</w:t>
      </w:r>
      <w:r>
        <w:rPr/>
        <w:fldChar w:fldCharType="begin"/>
      </w:r>
      <w:r>
        <w:instrText xml:space="preserve"> HYPERLINK "https://tirto.id/f34d" </w:instrText>
      </w:r>
      <w:r>
        <w:rPr/>
        <w:fldChar w:fldCharType="separate"/>
      </w:r>
      <w:r>
        <w:rPr>
          <w:rStyle w:val="style85"/>
          <w:i/>
          <w:iCs/>
          <w:sz w:val="24"/>
          <w:szCs w:val="24"/>
          <w:shd w:val="clear" w:color="auto" w:fill="ffffff"/>
        </w:rPr>
        <w:t>https://tirto.id/f34d</w:t>
      </w:r>
      <w:r>
        <w:rPr/>
        <w:fldChar w:fldCharType="end"/>
      </w:r>
      <w:r>
        <w:rPr>
          <w:i/>
          <w:iCs/>
          <w:color w:val="212529"/>
          <w:sz w:val="24"/>
          <w:szCs w:val="24"/>
          <w:shd w:val="clear" w:color="auto" w:fill="ffffff"/>
        </w:rPr>
        <w:t>)</w:t>
      </w:r>
    </w:p>
    <w:p>
      <w:pPr>
        <w:pStyle w:val="style0"/>
        <w:spacing w:lineRule="auto" w:line="240"/>
        <w:jc w:val="both"/>
        <w:rPr>
          <w:sz w:val="24"/>
          <w:szCs w:val="24"/>
        </w:rPr>
      </w:pPr>
    </w:p>
    <w:p>
      <w:pPr>
        <w:pStyle w:val="style0"/>
        <w:spacing w:lineRule="auto" w:line="360"/>
        <w:ind w:firstLine="720"/>
        <w:jc w:val="both"/>
        <w:rPr>
          <w:sz w:val="24"/>
          <w:szCs w:val="24"/>
          <w:lang w:val="ms-MY"/>
        </w:rPr>
      </w:pPr>
      <w:r>
        <w:rPr>
          <w:sz w:val="24"/>
          <w:szCs w:val="24"/>
          <w:lang w:val="ms-MY"/>
        </w:rPr>
        <w:t xml:space="preserve">The availability of android or devices that support the online learning process is a must for students because everything online-based can be accessed by devices/android. </w:t>
      </w:r>
      <w:r>
        <w:rPr>
          <w:sz w:val="24"/>
          <w:szCs w:val="24"/>
          <w:lang w:val="ms-MY"/>
        </w:rPr>
        <w:t>Quantitative data complement interview data and social medi</w:t>
      </w:r>
      <w:r>
        <w:rPr>
          <w:sz w:val="24"/>
          <w:szCs w:val="24"/>
          <w:lang w:val="ms-MY"/>
        </w:rPr>
        <w:t>a:</w:t>
      </w:r>
    </w:p>
    <w:bookmarkStart w:id="7" w:name="_Hlk92532509"/>
    <w:p>
      <w:pPr>
        <w:pStyle w:val="style0"/>
        <w:spacing w:lineRule="auto" w:line="360"/>
        <w:jc w:val="both"/>
        <w:rPr>
          <w:b/>
          <w:bCs/>
          <w:sz w:val="24"/>
          <w:szCs w:val="24"/>
          <w:lang w:val="ms-MY"/>
        </w:rPr>
      </w:pPr>
      <w:r>
        <w:rPr>
          <w:b/>
          <w:bCs/>
          <w:sz w:val="24"/>
          <w:szCs w:val="24"/>
          <w:lang w:val="ms-MY"/>
        </w:rPr>
        <w:t>(b</w:t>
      </w:r>
      <w:r>
        <w:rPr>
          <w:b/>
          <w:bCs/>
          <w:sz w:val="24"/>
          <w:szCs w:val="24"/>
          <w:lang w:val="ms-MY"/>
        </w:rPr>
        <w:t>)</w:t>
      </w:r>
      <w:r>
        <w:t xml:space="preserve"> </w:t>
      </w:r>
      <w:r>
        <w:rPr>
          <w:b/>
          <w:bCs/>
          <w:sz w:val="24"/>
          <w:szCs w:val="24"/>
          <w:lang w:val="ms-MY"/>
        </w:rPr>
        <w:t>Inequality of Quota Fulfillment</w:t>
      </w:r>
      <w:r>
        <w:rPr>
          <w:b/>
          <w:bCs/>
          <w:sz w:val="24"/>
          <w:szCs w:val="24"/>
          <w:lang w:val="ms-MY"/>
        </w:rPr>
        <w:t xml:space="preserve"> </w:t>
      </w:r>
      <w:r>
        <w:rPr>
          <w:b/>
          <w:bCs/>
          <w:sz w:val="24"/>
          <w:szCs w:val="24"/>
          <w:lang w:val="ms-MY"/>
        </w:rPr>
        <w:t xml:space="preserve"> </w:t>
      </w:r>
    </w:p>
    <w:bookmarkEnd w:id="7"/>
    <w:p>
      <w:pPr>
        <w:pStyle w:val="style0"/>
        <w:spacing w:lineRule="auto" w:line="360"/>
        <w:ind w:firstLine="720"/>
        <w:jc w:val="both"/>
        <w:rPr>
          <w:sz w:val="24"/>
          <w:szCs w:val="24"/>
          <w:lang w:val="ms-MY"/>
        </w:rPr>
      </w:pPr>
      <w:r>
        <w:rPr>
          <w:sz w:val="24"/>
          <w:szCs w:val="24"/>
          <w:lang w:val="ms-MY"/>
        </w:rPr>
        <w:t>With the help of increasingly advanced applications such as Zoom, Google Meet, WhatsApp, and YouTube, the online learning process</w:t>
      </w:r>
      <w:r>
        <w:rPr>
          <w:sz w:val="24"/>
          <w:szCs w:val="24"/>
          <w:lang w:val="ms-MY"/>
        </w:rPr>
        <w:t xml:space="preserve"> has experienced various difficulties in the field, resulting in class inequality in its implementation because it requires </w:t>
      </w:r>
      <w:r>
        <w:rPr>
          <w:sz w:val="24"/>
          <w:szCs w:val="24"/>
          <w:lang w:val="ms-MY"/>
        </w:rPr>
        <w:t xml:space="preserve">an </w:t>
      </w:r>
      <w:r>
        <w:rPr>
          <w:sz w:val="24"/>
          <w:szCs w:val="24"/>
          <w:lang w:val="ms-MY"/>
        </w:rPr>
        <w:t>internet quota. Indeed, there is internet quota subsidy assistance, but the distribution is still not evenly distributed</w:t>
      </w:r>
      <w:r>
        <w:rPr>
          <w:sz w:val="24"/>
          <w:szCs w:val="24"/>
          <w:lang w:val="ms-MY"/>
        </w:rPr>
        <w:t>,</w:t>
      </w:r>
      <w:r>
        <w:rPr>
          <w:sz w:val="24"/>
          <w:szCs w:val="24"/>
          <w:lang w:val="ms-MY"/>
        </w:rPr>
        <w:t xml:space="preserve"> and the distribution is limited towards the end of 2021. Evy (Informant 5, 36 years old)</w:t>
      </w:r>
      <w:r>
        <w:rPr>
          <w:sz w:val="24"/>
          <w:szCs w:val="24"/>
          <w:lang w:val="ms-MY"/>
        </w:rPr>
        <w:t>,</w:t>
      </w:r>
      <w:r>
        <w:rPr>
          <w:sz w:val="24"/>
          <w:szCs w:val="24"/>
          <w:lang w:val="ms-MY"/>
        </w:rPr>
        <w:t xml:space="preserve"> </w:t>
      </w:r>
      <w:r>
        <w:rPr>
          <w:sz w:val="24"/>
          <w:szCs w:val="24"/>
          <w:lang w:val="ms-MY"/>
        </w:rPr>
        <w:t xml:space="preserve">the </w:t>
      </w:r>
      <w:r>
        <w:rPr>
          <w:sz w:val="24"/>
          <w:szCs w:val="24"/>
          <w:lang w:val="ms-MY"/>
        </w:rPr>
        <w:t>lecturer at Panca Marga University</w:t>
      </w:r>
      <w:r>
        <w:rPr>
          <w:sz w:val="24"/>
          <w:szCs w:val="24"/>
          <w:lang w:val="ms-MY"/>
        </w:rPr>
        <w:t xml:space="preserve"> </w:t>
      </w:r>
      <w:r>
        <w:rPr>
          <w:sz w:val="24"/>
          <w:szCs w:val="24"/>
          <w:lang w:val="ms-MY"/>
        </w:rPr>
        <w:t>Problinggo</w:t>
      </w:r>
      <w:r>
        <w:rPr>
          <w:sz w:val="24"/>
          <w:szCs w:val="24"/>
          <w:lang w:val="ms-MY"/>
        </w:rPr>
        <w:t>,</w:t>
      </w:r>
      <w:r>
        <w:rPr>
          <w:sz w:val="24"/>
          <w:szCs w:val="24"/>
          <w:lang w:val="ms-MY"/>
        </w:rPr>
        <w:t xml:space="preserve"> expressed his anxiety about online learning. “Internet quotas that are not affordable for some students are also very influential in participating in online learning. S</w:t>
      </w:r>
      <w:r>
        <w:rPr>
          <w:sz w:val="24"/>
          <w:szCs w:val="24"/>
          <w:lang w:val="ms-MY"/>
        </w:rPr>
        <w:t>ome poor students</w:t>
      </w:r>
      <w:r>
        <w:rPr>
          <w:sz w:val="24"/>
          <w:szCs w:val="24"/>
          <w:lang w:val="ms-MY"/>
        </w:rPr>
        <w:t xml:space="preserve"> are forced to save on quota</w:t>
      </w:r>
      <w:r>
        <w:rPr>
          <w:sz w:val="24"/>
          <w:szCs w:val="24"/>
          <w:lang w:val="ms-MY"/>
        </w:rPr>
        <w:t>,</w:t>
      </w:r>
      <w:r>
        <w:rPr>
          <w:sz w:val="24"/>
          <w:szCs w:val="24"/>
          <w:lang w:val="ms-MY"/>
        </w:rPr>
        <w:t xml:space="preserve"> so they don't fully attend lectures because there is no quota assistance from the campus." (IV. 4. 17.08.21)</w:t>
      </w:r>
      <w:r>
        <w:rPr>
          <w:sz w:val="24"/>
          <w:szCs w:val="24"/>
          <w:lang w:val="ms-MY"/>
        </w:rPr>
        <w:t>.</w:t>
      </w:r>
    </w:p>
    <w:p>
      <w:pPr>
        <w:pStyle w:val="style0"/>
        <w:spacing w:lineRule="auto" w:line="360"/>
        <w:ind w:firstLine="720"/>
        <w:jc w:val="both"/>
        <w:rPr>
          <w:sz w:val="24"/>
          <w:szCs w:val="24"/>
          <w:lang w:val="ms-MY"/>
        </w:rPr>
      </w:pPr>
      <w:r>
        <w:rPr>
          <w:sz w:val="24"/>
          <w:szCs w:val="24"/>
          <w:lang w:val="ms-MY"/>
        </w:rPr>
        <w:t xml:space="preserve">This condition is very much complained </w:t>
      </w:r>
      <w:r>
        <w:rPr>
          <w:sz w:val="24"/>
          <w:szCs w:val="24"/>
          <w:lang w:val="ms-MY"/>
        </w:rPr>
        <w:t>about</w:t>
      </w:r>
      <w:r>
        <w:rPr>
          <w:sz w:val="24"/>
          <w:szCs w:val="24"/>
          <w:lang w:val="ms-MY"/>
        </w:rPr>
        <w:t xml:space="preserve"> by students because online education (learning) requires having </w:t>
      </w:r>
      <w:r>
        <w:rPr>
          <w:sz w:val="24"/>
          <w:szCs w:val="24"/>
          <w:lang w:val="ms-MY"/>
        </w:rPr>
        <w:t xml:space="preserve">an </w:t>
      </w:r>
      <w:r>
        <w:rPr>
          <w:sz w:val="24"/>
          <w:szCs w:val="24"/>
          <w:lang w:val="ms-MY"/>
        </w:rPr>
        <w:t>internet quota to access learning applications and to complete tasks given by lecturers. Evy's view represents the views of some private lecturers whose students are generally mostly poor children. Indra (1. 5. 15.08.21), a student at the State Islamic University of Satu Tulungagung, corroborated this opinion:</w:t>
      </w:r>
    </w:p>
    <w:p>
      <w:pPr>
        <w:pStyle w:val="style0"/>
        <w:spacing w:lineRule="auto" w:line="240"/>
        <w:ind w:left="720"/>
        <w:jc w:val="both"/>
        <w:rPr>
          <w:i/>
          <w:iCs/>
          <w:sz w:val="24"/>
          <w:szCs w:val="24"/>
          <w:lang w:val="ms-MY"/>
        </w:rPr>
      </w:pPr>
      <w:r>
        <w:rPr>
          <w:i/>
          <w:iCs/>
          <w:sz w:val="24"/>
          <w:szCs w:val="24"/>
          <w:lang w:val="ms-MY"/>
        </w:rPr>
        <w:t xml:space="preserve">"Students and parents have objections because the internet quota is quite expensive. In addition, not all students are </w:t>
      </w:r>
      <w:r>
        <w:rPr>
          <w:i/>
          <w:iCs/>
          <w:sz w:val="24"/>
          <w:szCs w:val="24"/>
          <w:lang w:val="ms-MY"/>
        </w:rPr>
        <w:t>rich or well-off people</w:t>
      </w:r>
      <w:r>
        <w:rPr>
          <w:i/>
          <w:iCs/>
          <w:sz w:val="24"/>
          <w:szCs w:val="24"/>
          <w:lang w:val="ms-MY"/>
        </w:rPr>
        <w:t xml:space="preserve">. In this case, the campus should provide quota assistance for each month, so that students do not find it difficult (1. 5. 15.08.21)”. </w:t>
      </w:r>
    </w:p>
    <w:p>
      <w:pPr>
        <w:pStyle w:val="style0"/>
        <w:spacing w:lineRule="auto" w:line="240"/>
        <w:jc w:val="both"/>
        <w:rPr>
          <w:i/>
          <w:iCs/>
          <w:sz w:val="24"/>
          <w:szCs w:val="24"/>
          <w:lang w:val="ms-MY"/>
        </w:rPr>
      </w:pPr>
    </w:p>
    <w:p>
      <w:pPr>
        <w:pStyle w:val="style0"/>
        <w:spacing w:lineRule="auto" w:line="360"/>
        <w:ind w:firstLine="720"/>
        <w:jc w:val="both"/>
        <w:rPr>
          <w:sz w:val="24"/>
          <w:szCs w:val="24"/>
          <w:lang w:val="ms-MY"/>
        </w:rPr>
      </w:pPr>
      <w:r>
        <w:rPr>
          <w:sz w:val="24"/>
          <w:szCs w:val="24"/>
          <w:lang w:val="ms-MY"/>
        </w:rPr>
        <w:t>Class inequality, including students whose parents are middle to lower economic class, experience various obstacles because they object to buying internet quota</w:t>
      </w:r>
      <w:r>
        <w:rPr>
          <w:sz w:val="24"/>
          <w:szCs w:val="24"/>
          <w:lang w:val="ms-MY"/>
        </w:rPr>
        <w:t>,</w:t>
      </w:r>
      <w:r>
        <w:rPr>
          <w:sz w:val="24"/>
          <w:szCs w:val="24"/>
          <w:lang w:val="ms-MY"/>
        </w:rPr>
        <w:t xml:space="preserve"> which is quite expensive. Meanwhile, the upper</w:t>
      </w:r>
      <w:r>
        <w:rPr>
          <w:sz w:val="24"/>
          <w:szCs w:val="24"/>
          <w:lang w:val="ms-MY"/>
        </w:rPr>
        <w:t>-</w:t>
      </w:r>
      <w:r>
        <w:rPr>
          <w:sz w:val="24"/>
          <w:szCs w:val="24"/>
          <w:lang w:val="ms-MY"/>
        </w:rPr>
        <w:t>middle</w:t>
      </w:r>
      <w:r>
        <w:rPr>
          <w:sz w:val="24"/>
          <w:szCs w:val="24"/>
          <w:lang w:val="ms-MY"/>
        </w:rPr>
        <w:t>-</w:t>
      </w:r>
      <w:r>
        <w:rPr>
          <w:sz w:val="24"/>
          <w:szCs w:val="24"/>
          <w:lang w:val="ms-MY"/>
        </w:rPr>
        <w:t>class economics student group did not experience significant obstacles</w:t>
      </w:r>
      <w:r>
        <w:rPr>
          <w:sz w:val="24"/>
          <w:szCs w:val="24"/>
          <w:lang w:val="ms-MY"/>
        </w:rPr>
        <w:t>. F</w:t>
      </w:r>
      <w:r>
        <w:rPr>
          <w:sz w:val="24"/>
          <w:szCs w:val="24"/>
          <w:lang w:val="ms-MY"/>
        </w:rPr>
        <w:t>or more details, it can be seen in the quantitative data</w:t>
      </w:r>
      <w:r>
        <w:rPr>
          <w:sz w:val="24"/>
          <w:szCs w:val="24"/>
          <w:lang w:val="ms-MY"/>
        </w:rPr>
        <w:t>.</w:t>
      </w:r>
    </w:p>
    <w:p>
      <w:pPr>
        <w:pStyle w:val="style0"/>
        <w:spacing w:lineRule="auto" w:line="360"/>
        <w:jc w:val="both"/>
        <w:rPr>
          <w:b/>
          <w:bCs/>
          <w:sz w:val="24"/>
          <w:szCs w:val="24"/>
          <w:lang w:val="ms-MY"/>
        </w:rPr>
      </w:pPr>
    </w:p>
    <w:bookmarkStart w:id="8" w:name="_Hlk92532528"/>
    <w:p>
      <w:pPr>
        <w:pStyle w:val="style0"/>
        <w:spacing w:lineRule="auto" w:line="360"/>
        <w:ind w:hanging="426"/>
        <w:rPr>
          <w:b/>
          <w:bCs/>
          <w:color w:val="000000"/>
          <w:sz w:val="24"/>
          <w:szCs w:val="24"/>
          <w:shd w:val="clear" w:color="auto" w:fill="ffffff"/>
          <w:lang w:val="ms-MY"/>
        </w:rPr>
      </w:pPr>
      <w:r>
        <w:rPr>
          <w:b/>
          <w:bCs/>
          <w:sz w:val="24"/>
          <w:szCs w:val="24"/>
          <w:lang w:val="ms-MY"/>
        </w:rPr>
        <w:t xml:space="preserve">       </w:t>
      </w:r>
      <w:r>
        <w:rPr>
          <w:b/>
          <w:bCs/>
          <w:sz w:val="24"/>
          <w:szCs w:val="24"/>
          <w:lang w:val="ms-MY"/>
        </w:rPr>
        <w:t xml:space="preserve">(c) </w:t>
      </w:r>
      <w:r>
        <w:rPr>
          <w:b/>
          <w:bCs/>
          <w:color w:val="000000"/>
          <w:sz w:val="24"/>
          <w:szCs w:val="24"/>
          <w:shd w:val="clear" w:color="auto" w:fill="ffffff"/>
          <w:lang w:val="ms-MY"/>
        </w:rPr>
        <w:t>Internet Network Inequality</w:t>
      </w:r>
    </w:p>
    <w:p>
      <w:pPr>
        <w:pStyle w:val="style0"/>
        <w:spacing w:lineRule="auto" w:line="360"/>
        <w:ind w:firstLine="720"/>
        <w:jc w:val="both"/>
        <w:rPr>
          <w:color w:val="000000"/>
          <w:sz w:val="24"/>
          <w:szCs w:val="24"/>
          <w:shd w:val="clear" w:color="auto" w:fill="ffffff"/>
          <w:lang w:val="ms-MY"/>
        </w:rPr>
      </w:pPr>
      <w:r>
        <w:rPr>
          <w:color w:val="000000"/>
          <w:sz w:val="24"/>
          <w:szCs w:val="24"/>
          <w:shd w:val="clear" w:color="auto" w:fill="ffffff"/>
          <w:lang w:val="ms-MY"/>
        </w:rPr>
        <w:t>There are many phenomena of students in remote areas who have to walk kilometers to get an internet signal to participate in distance learning,</w:t>
      </w:r>
      <w:r>
        <w:rPr>
          <w:color w:val="000000"/>
          <w:sz w:val="24"/>
          <w:szCs w:val="24"/>
          <w:shd w:val="clear" w:color="auto" w:fill="ffffff"/>
          <w:lang w:val="ms-MY"/>
        </w:rPr>
        <w:t xml:space="preserve"> and</w:t>
      </w:r>
      <w:r>
        <w:rPr>
          <w:color w:val="000000"/>
          <w:sz w:val="24"/>
          <w:szCs w:val="24"/>
          <w:shd w:val="clear" w:color="auto" w:fill="ffffff"/>
          <w:lang w:val="ms-MY"/>
        </w:rPr>
        <w:t xml:space="preserve"> this is as expressed by Mrs. Evy (informant IV.3, 36 years)</w:t>
      </w:r>
      <w:r>
        <w:rPr>
          <w:color w:val="000000"/>
          <w:sz w:val="24"/>
          <w:szCs w:val="24"/>
          <w:shd w:val="clear" w:color="auto" w:fill="ffffff"/>
          <w:lang w:val="ms-MY"/>
        </w:rPr>
        <w:t>,</w:t>
      </w:r>
      <w:r>
        <w:rPr>
          <w:color w:val="000000"/>
          <w:sz w:val="24"/>
          <w:szCs w:val="24"/>
          <w:shd w:val="clear" w:color="auto" w:fill="ffffff"/>
          <w:lang w:val="ms-MY"/>
        </w:rPr>
        <w:t xml:space="preserve"> a lecturer at Panca Marga University: "The location of the student's residence </w:t>
      </w:r>
      <w:r>
        <w:rPr>
          <w:color w:val="000000"/>
          <w:sz w:val="24"/>
          <w:szCs w:val="24"/>
          <w:shd w:val="clear" w:color="auto" w:fill="ffffff"/>
          <w:lang w:val="ms-MY"/>
        </w:rPr>
        <w:t>also determines</w:t>
      </w:r>
      <w:r>
        <w:rPr>
          <w:color w:val="000000"/>
          <w:sz w:val="24"/>
          <w:szCs w:val="24"/>
          <w:shd w:val="clear" w:color="auto" w:fill="ffffff"/>
          <w:lang w:val="ms-MY"/>
        </w:rPr>
        <w:t xml:space="preserve"> the strength of their internet network. Many students on our campus come from remote mountains, so it is difficult to get a good signal, so they have problems following zoom or sending assignments.” The views of Evy's mother represent the views of lecturers in general. Muslim (Informant III. 7. 48 years)</w:t>
      </w:r>
      <w:r>
        <w:rPr>
          <w:color w:val="000000"/>
          <w:sz w:val="24"/>
          <w:szCs w:val="24"/>
          <w:shd w:val="clear" w:color="auto" w:fill="ffffff"/>
          <w:lang w:val="ms-MY"/>
        </w:rPr>
        <w:t>,</w:t>
      </w:r>
      <w:r>
        <w:rPr>
          <w:color w:val="000000"/>
          <w:sz w:val="24"/>
          <w:szCs w:val="24"/>
          <w:shd w:val="clear" w:color="auto" w:fill="ffffff"/>
          <w:lang w:val="ms-MY"/>
        </w:rPr>
        <w:t xml:space="preserve"> a lecturer at the Islamic University of Malang</w:t>
      </w:r>
      <w:r>
        <w:rPr>
          <w:color w:val="000000"/>
          <w:sz w:val="24"/>
          <w:szCs w:val="24"/>
          <w:shd w:val="clear" w:color="auto" w:fill="ffffff"/>
          <w:lang w:val="ms-MY"/>
        </w:rPr>
        <w:t>,</w:t>
      </w:r>
      <w:r>
        <w:rPr>
          <w:color w:val="000000"/>
          <w:sz w:val="24"/>
          <w:szCs w:val="24"/>
          <w:shd w:val="clear" w:color="auto" w:fill="ffffff"/>
          <w:lang w:val="ms-MY"/>
        </w:rPr>
        <w:t xml:space="preserve"> corroborates this by saying:</w:t>
      </w:r>
    </w:p>
    <w:bookmarkStart w:id="9" w:name="_Hlk98277292"/>
    <w:p>
      <w:pPr>
        <w:pStyle w:val="style0"/>
        <w:spacing w:lineRule="auto" w:line="240"/>
        <w:ind w:left="578"/>
        <w:jc w:val="both"/>
        <w:rPr>
          <w:bCs/>
          <w:i/>
          <w:iCs/>
          <w:sz w:val="24"/>
          <w:szCs w:val="24"/>
          <w:lang w:val="ms-MY"/>
        </w:rPr>
      </w:pPr>
      <w:r>
        <w:rPr>
          <w:bCs/>
          <w:i/>
          <w:iCs/>
          <w:sz w:val="24"/>
          <w:szCs w:val="24"/>
          <w:lang w:val="ms-MY"/>
        </w:rPr>
        <w:t xml:space="preserve">“Once, some students complained that the internet network was slow and could not be maximized so that they were late in submitting the assignments that I gave them. This is because the internet is rare at home, as happened to my students in the northern Bengkulu area and the Madura area. I understand that because the internet network in each region is not evenly distributed and is as good as the one on campus.” (III. 7. 16.08) </w:t>
      </w:r>
      <w:bookmarkEnd w:id="9"/>
    </w:p>
    <w:p>
      <w:pPr>
        <w:pStyle w:val="style0"/>
        <w:spacing w:lineRule="auto" w:line="240"/>
        <w:ind w:left="578"/>
        <w:jc w:val="both"/>
        <w:rPr>
          <w:bCs/>
          <w:sz w:val="24"/>
          <w:szCs w:val="24"/>
          <w:lang w:val="ms-MY"/>
        </w:rPr>
      </w:pPr>
    </w:p>
    <w:bookmarkStart w:id="10" w:name="_Hlk94521189"/>
    <w:p>
      <w:pPr>
        <w:pStyle w:val="style0"/>
        <w:spacing w:lineRule="auto" w:line="360"/>
        <w:ind w:firstLine="720"/>
        <w:jc w:val="both"/>
        <w:rPr>
          <w:sz w:val="24"/>
          <w:szCs w:val="24"/>
          <w:shd w:val="clear" w:color="auto" w:fill="f5f5f5"/>
          <w:lang w:val="ms-MY"/>
        </w:rPr>
      </w:pPr>
      <w:r>
        <w:rPr>
          <w:sz w:val="24"/>
          <w:szCs w:val="24"/>
          <w:shd w:val="clear" w:color="auto" w:fill="f5f5f5"/>
          <w:lang w:val="ms-MY"/>
        </w:rPr>
        <w:t>They were r</w:t>
      </w:r>
      <w:r>
        <w:rPr>
          <w:sz w:val="24"/>
          <w:szCs w:val="24"/>
          <w:shd w:val="clear" w:color="auto" w:fill="f5f5f5"/>
          <w:lang w:val="ms-MY"/>
        </w:rPr>
        <w:t>eporting from Alinea.id, Commissioner for the Indonesian Student Protection Commission, Education Sector, Retno Listyarti</w:t>
      </w:r>
      <w:r>
        <w:rPr>
          <w:sz w:val="24"/>
          <w:szCs w:val="24"/>
          <w:shd w:val="clear" w:color="auto" w:fill="f5f5f5"/>
          <w:lang w:val="ms-MY"/>
        </w:rPr>
        <w:t>,</w:t>
      </w:r>
      <w:r>
        <w:rPr>
          <w:sz w:val="24"/>
          <w:szCs w:val="24"/>
          <w:shd w:val="clear" w:color="auto" w:fill="f5f5f5"/>
          <w:lang w:val="ms-MY"/>
        </w:rPr>
        <w:t xml:space="preserve"> said that online education ha</w:t>
      </w:r>
      <w:r>
        <w:rPr>
          <w:sz w:val="24"/>
          <w:szCs w:val="24"/>
          <w:shd w:val="clear" w:color="auto" w:fill="f5f5f5"/>
          <w:lang w:val="ms-MY"/>
        </w:rPr>
        <w:t>d</w:t>
      </w:r>
      <w:r>
        <w:rPr>
          <w:sz w:val="24"/>
          <w:szCs w:val="24"/>
          <w:shd w:val="clear" w:color="auto" w:fill="f5f5f5"/>
          <w:lang w:val="ms-MY"/>
        </w:rPr>
        <w:t xml:space="preserve"> opened </w:t>
      </w:r>
      <w:r>
        <w:rPr>
          <w:sz w:val="24"/>
          <w:szCs w:val="24"/>
          <w:shd w:val="clear" w:color="auto" w:fill="f5f5f5"/>
          <w:lang w:val="ms-MY"/>
        </w:rPr>
        <w:t>the gap between rich</w:t>
      </w:r>
      <w:r>
        <w:rPr>
          <w:sz w:val="24"/>
          <w:szCs w:val="24"/>
          <w:shd w:val="clear" w:color="auto" w:fill="f5f5f5"/>
          <w:lang w:val="ms-MY"/>
        </w:rPr>
        <w:t xml:space="preserve"> and poor students. “For students from middle-class and upper-class families, computers, credit</w:t>
      </w:r>
      <w:r>
        <w:rPr>
          <w:sz w:val="24"/>
          <w:szCs w:val="24"/>
          <w:shd w:val="clear" w:color="auto" w:fill="f5f5f5"/>
          <w:lang w:val="ms-MY"/>
        </w:rPr>
        <w:t>,</w:t>
      </w:r>
      <w:r>
        <w:rPr>
          <w:sz w:val="24"/>
          <w:szCs w:val="24"/>
          <w:shd w:val="clear" w:color="auto" w:fill="f5f5f5"/>
          <w:lang w:val="ms-MY"/>
        </w:rPr>
        <w:t xml:space="preserve"> and internet quota are not a problem. However, </w:t>
      </w:r>
      <w:r>
        <w:rPr>
          <w:sz w:val="24"/>
          <w:szCs w:val="24"/>
          <w:shd w:val="clear" w:color="auto" w:fill="f5f5f5"/>
          <w:lang w:val="ms-MY"/>
        </w:rPr>
        <w:t>technology is still a hard-to-reach luxury item for most students from lower-</w:t>
      </w:r>
      <w:r>
        <w:rPr>
          <w:sz w:val="24"/>
          <w:szCs w:val="24"/>
          <w:shd w:val="clear" w:color="auto" w:fill="f5f5f5"/>
          <w:lang w:val="ms-MY"/>
        </w:rPr>
        <w:t>class families, let alone remote areas</w:t>
      </w:r>
      <w:r>
        <w:rPr>
          <w:sz w:val="24"/>
          <w:szCs w:val="24"/>
          <w:shd w:val="clear" w:color="auto" w:fill="f5f5f5"/>
          <w:lang w:val="ms-MY"/>
        </w:rPr>
        <w:t>."</w:t>
      </w:r>
    </w:p>
    <w:bookmarkStart w:id="11" w:name="_Hlk92706679"/>
    <w:bookmarkEnd w:id="10"/>
    <w:p>
      <w:pPr>
        <w:pStyle w:val="style0"/>
        <w:spacing w:lineRule="auto" w:line="360"/>
        <w:ind w:firstLine="720"/>
        <w:jc w:val="both"/>
        <w:rPr>
          <w:sz w:val="24"/>
          <w:szCs w:val="24"/>
        </w:rPr>
      </w:pPr>
      <w:r>
        <w:rPr>
          <w:sz w:val="24"/>
          <w:szCs w:val="24"/>
        </w:rPr>
        <w:t xml:space="preserve">Interview data and data from social media that have been shown show that online education at universities during the Covid-19 pandemic in its implementation there </w:t>
      </w:r>
      <w:r>
        <w:rPr>
          <w:sz w:val="24"/>
          <w:szCs w:val="24"/>
        </w:rPr>
        <w:t>is</w:t>
      </w:r>
      <w:r>
        <w:rPr>
          <w:sz w:val="24"/>
          <w:szCs w:val="24"/>
        </w:rPr>
        <w:t xml:space="preserve"> inequality, including equipment inequality, quota inequality</w:t>
      </w:r>
      <w:r>
        <w:rPr>
          <w:sz w:val="24"/>
          <w:szCs w:val="24"/>
        </w:rPr>
        <w:t>,</w:t>
      </w:r>
      <w:r>
        <w:rPr>
          <w:sz w:val="24"/>
          <w:szCs w:val="24"/>
        </w:rPr>
        <w:t xml:space="preserve"> and internet network inequality, thus creating a gap between </w:t>
      </w:r>
      <w:r>
        <w:rPr>
          <w:sz w:val="24"/>
          <w:szCs w:val="24"/>
        </w:rPr>
        <w:t>affluent</w:t>
      </w:r>
      <w:r>
        <w:rPr>
          <w:sz w:val="24"/>
          <w:szCs w:val="24"/>
        </w:rPr>
        <w:t xml:space="preserve"> students and poor students. in online education, this phenomenon is supported by quantitative data as a result of analysis using </w:t>
      </w:r>
      <w:r>
        <w:rPr>
          <w:sz w:val="24"/>
          <w:szCs w:val="24"/>
        </w:rPr>
        <w:t>Maxqda</w:t>
      </w:r>
      <w:r>
        <w:rPr>
          <w:sz w:val="24"/>
          <w:szCs w:val="24"/>
        </w:rPr>
        <w:t xml:space="preserve"> on the results of interviewing informants, it is stated that quota constraints have the highest percentage, with a level of 39.2% being an obstacle in the learning process, next is network constraints with a level of 34.2% and android equipment (device) with a smaller level of 26.6%. </w:t>
      </w:r>
      <w:r>
        <w:rPr>
          <w:sz w:val="24"/>
          <w:szCs w:val="24"/>
        </w:rPr>
        <w:t xml:space="preserve">(Researcher analysis, </w:t>
      </w:r>
      <w:r>
        <w:rPr>
          <w:sz w:val="24"/>
          <w:szCs w:val="24"/>
        </w:rPr>
        <w:t>Maxqda</w:t>
      </w:r>
      <w:r>
        <w:rPr>
          <w:sz w:val="24"/>
          <w:szCs w:val="24"/>
        </w:rPr>
        <w:t>).</w:t>
      </w:r>
      <w:r>
        <w:rPr>
          <w:sz w:val="24"/>
          <w:szCs w:val="24"/>
        </w:rPr>
        <w:t xml:space="preserve"> </w:t>
      </w:r>
      <w:r>
        <w:rPr>
          <w:sz w:val="24"/>
          <w:szCs w:val="24"/>
        </w:rPr>
        <w:t>Most students have android equipment, but the type and type of equipment are religious</w:t>
      </w:r>
      <w:r>
        <w:rPr>
          <w:sz w:val="24"/>
          <w:szCs w:val="24"/>
        </w:rPr>
        <w:t xml:space="preserve"> to support the network, not to mention the need to buy quota</w:t>
      </w:r>
      <w:r>
        <w:rPr>
          <w:sz w:val="24"/>
          <w:szCs w:val="24"/>
        </w:rPr>
        <w:t>—o</w:t>
      </w:r>
      <w:r>
        <w:rPr>
          <w:sz w:val="24"/>
          <w:szCs w:val="24"/>
        </w:rPr>
        <w:t>nly those in the upper</w:t>
      </w:r>
      <w:r>
        <w:rPr>
          <w:sz w:val="24"/>
          <w:szCs w:val="24"/>
        </w:rPr>
        <w:t>-</w:t>
      </w:r>
      <w:r>
        <w:rPr>
          <w:sz w:val="24"/>
          <w:szCs w:val="24"/>
        </w:rPr>
        <w:t>middle class who do not experience problems related to</w:t>
      </w:r>
      <w:r>
        <w:rPr>
          <w:sz w:val="24"/>
          <w:szCs w:val="24"/>
        </w:rPr>
        <w:t xml:space="preserve"> internet</w:t>
      </w:r>
      <w:r>
        <w:rPr>
          <w:sz w:val="24"/>
          <w:szCs w:val="24"/>
        </w:rPr>
        <w:t xml:space="preserve"> quota.</w:t>
      </w:r>
    </w:p>
    <w:p>
      <w:pPr>
        <w:pStyle w:val="style0"/>
        <w:spacing w:lineRule="auto" w:line="360"/>
        <w:jc w:val="center"/>
        <w:rPr>
          <w:sz w:val="24"/>
          <w:szCs w:val="24"/>
        </w:rPr>
      </w:pPr>
      <w:r>
        <w:rPr>
          <w:sz w:val="24"/>
          <w:szCs w:val="24"/>
        </w:rPr>
        <w:t>Tabel</w:t>
      </w:r>
      <w:r>
        <w:rPr>
          <w:sz w:val="24"/>
          <w:szCs w:val="24"/>
        </w:rPr>
        <w:t xml:space="preserve"> 1.</w:t>
      </w:r>
      <w:r>
        <w:rPr>
          <w:sz w:val="24"/>
          <w:szCs w:val="24"/>
        </w:rPr>
        <w:t xml:space="preserve"> </w:t>
      </w:r>
      <w:r>
        <w:rPr>
          <w:sz w:val="24"/>
          <w:szCs w:val="24"/>
        </w:rPr>
        <w:t>Data on the Percentage of Infrastructure Problems in Online Learning</w:t>
      </w:r>
    </w:p>
    <w:tbl>
      <w:tblPr>
        <w:tblStyle w:val="style4115"/>
        <w:tblW w:w="0" w:type="auto"/>
        <w:jc w:val="center"/>
        <w:tblLook w:val="04A0" w:firstRow="1" w:lastRow="0" w:firstColumn="1" w:lastColumn="0" w:noHBand="0" w:noVBand="1"/>
      </w:tblPr>
      <w:tblGrid>
        <w:gridCol w:w="2693"/>
        <w:gridCol w:w="1701"/>
        <w:gridCol w:w="1843"/>
      </w:tblGrid>
      <w:tr>
        <w:trPr>
          <w:jc w:val="center"/>
        </w:trPr>
        <w:tc>
          <w:tcPr>
            <w:tcW w:w="2693" w:type="dxa"/>
            <w:tcBorders/>
            <w:shd w:val="clear" w:color="auto" w:fill="f2dbdb"/>
          </w:tcPr>
          <w:p>
            <w:pPr>
              <w:pStyle w:val="style0"/>
              <w:spacing w:lineRule="auto" w:line="360"/>
              <w:jc w:val="center"/>
              <w:rPr>
                <w:b w:val="false"/>
                <w:bCs w:val="false"/>
                <w:sz w:val="20"/>
              </w:rPr>
            </w:pPr>
          </w:p>
        </w:tc>
        <w:tc>
          <w:tcPr>
            <w:tcW w:w="1701" w:type="dxa"/>
            <w:tcBorders/>
            <w:shd w:val="clear" w:color="auto" w:fill="f2dbdb"/>
          </w:tcPr>
          <w:p>
            <w:pPr>
              <w:pStyle w:val="style0"/>
              <w:spacing w:lineRule="auto" w:line="360"/>
              <w:jc w:val="center"/>
              <w:rPr>
                <w:sz w:val="20"/>
              </w:rPr>
            </w:pPr>
            <w:r>
              <w:rPr>
                <w:sz w:val="20"/>
              </w:rPr>
              <w:t>Segments</w:t>
            </w:r>
          </w:p>
        </w:tc>
        <w:tc>
          <w:tcPr>
            <w:tcW w:w="1843" w:type="dxa"/>
            <w:tcBorders/>
            <w:shd w:val="clear" w:color="auto" w:fill="f2dbdb"/>
          </w:tcPr>
          <w:p>
            <w:pPr>
              <w:pStyle w:val="style0"/>
              <w:spacing w:lineRule="auto" w:line="360"/>
              <w:jc w:val="center"/>
              <w:rPr>
                <w:sz w:val="20"/>
              </w:rPr>
            </w:pPr>
            <w:r>
              <w:rPr>
                <w:sz w:val="20"/>
              </w:rPr>
              <w:t>Percentage</w:t>
            </w:r>
          </w:p>
        </w:tc>
      </w:tr>
      <w:tr>
        <w:tblPrEx/>
        <w:trPr>
          <w:jc w:val="center"/>
        </w:trPr>
        <w:tc>
          <w:tcPr>
            <w:tcW w:w="2693" w:type="dxa"/>
            <w:tcBorders/>
          </w:tcPr>
          <w:p>
            <w:pPr>
              <w:pStyle w:val="style0"/>
              <w:spacing w:lineRule="auto" w:line="360"/>
              <w:rPr>
                <w:sz w:val="20"/>
              </w:rPr>
            </w:pPr>
            <w:r>
              <w:rPr>
                <w:sz w:val="20"/>
              </w:rPr>
              <w:t>Internet Q</w:t>
            </w:r>
            <w:r>
              <w:rPr>
                <w:sz w:val="20"/>
              </w:rPr>
              <w:t>uota</w:t>
            </w:r>
          </w:p>
        </w:tc>
        <w:tc>
          <w:tcPr>
            <w:tcW w:w="1701" w:type="dxa"/>
            <w:tcBorders/>
          </w:tcPr>
          <w:p>
            <w:pPr>
              <w:pStyle w:val="style0"/>
              <w:spacing w:lineRule="auto" w:line="360"/>
              <w:jc w:val="right"/>
              <w:rPr>
                <w:sz w:val="20"/>
              </w:rPr>
            </w:pPr>
            <w:r>
              <w:rPr>
                <w:sz w:val="20"/>
              </w:rPr>
              <w:t>31</w:t>
            </w:r>
          </w:p>
        </w:tc>
        <w:tc>
          <w:tcPr>
            <w:tcW w:w="1843" w:type="dxa"/>
            <w:tcBorders/>
          </w:tcPr>
          <w:p>
            <w:pPr>
              <w:pStyle w:val="style0"/>
              <w:spacing w:lineRule="auto" w:line="360"/>
              <w:jc w:val="right"/>
              <w:rPr>
                <w:sz w:val="20"/>
              </w:rPr>
            </w:pPr>
            <w:r>
              <w:rPr>
                <w:sz w:val="20"/>
              </w:rPr>
              <w:t>39,2</w:t>
            </w:r>
          </w:p>
        </w:tc>
      </w:tr>
      <w:tr>
        <w:tblPrEx/>
        <w:trPr>
          <w:jc w:val="center"/>
        </w:trPr>
        <w:tc>
          <w:tcPr>
            <w:tcW w:w="2693" w:type="dxa"/>
            <w:tcBorders/>
          </w:tcPr>
          <w:p>
            <w:pPr>
              <w:pStyle w:val="style0"/>
              <w:spacing w:lineRule="auto" w:line="360"/>
              <w:rPr>
                <w:sz w:val="20"/>
              </w:rPr>
            </w:pPr>
            <w:r>
              <w:rPr>
                <w:sz w:val="20"/>
              </w:rPr>
              <w:t>Internet Network</w:t>
            </w:r>
          </w:p>
        </w:tc>
        <w:tc>
          <w:tcPr>
            <w:tcW w:w="1701" w:type="dxa"/>
            <w:tcBorders/>
          </w:tcPr>
          <w:p>
            <w:pPr>
              <w:pStyle w:val="style0"/>
              <w:spacing w:lineRule="auto" w:line="360"/>
              <w:jc w:val="right"/>
              <w:rPr>
                <w:sz w:val="20"/>
              </w:rPr>
            </w:pPr>
            <w:r>
              <w:rPr>
                <w:sz w:val="20"/>
              </w:rPr>
              <w:t>27</w:t>
            </w:r>
          </w:p>
        </w:tc>
        <w:tc>
          <w:tcPr>
            <w:tcW w:w="1843" w:type="dxa"/>
            <w:tcBorders/>
          </w:tcPr>
          <w:p>
            <w:pPr>
              <w:pStyle w:val="style0"/>
              <w:spacing w:lineRule="auto" w:line="360"/>
              <w:jc w:val="right"/>
              <w:rPr>
                <w:sz w:val="20"/>
              </w:rPr>
            </w:pPr>
            <w:r>
              <w:rPr>
                <w:sz w:val="20"/>
              </w:rPr>
              <w:t>34,2</w:t>
            </w:r>
          </w:p>
        </w:tc>
      </w:tr>
      <w:tr>
        <w:tblPrEx/>
        <w:trPr>
          <w:jc w:val="center"/>
        </w:trPr>
        <w:tc>
          <w:tcPr>
            <w:tcW w:w="2693" w:type="dxa"/>
            <w:tcBorders/>
          </w:tcPr>
          <w:p>
            <w:pPr>
              <w:pStyle w:val="style0"/>
              <w:spacing w:lineRule="auto" w:line="360"/>
              <w:rPr>
                <w:sz w:val="20"/>
              </w:rPr>
            </w:pPr>
            <w:r>
              <w:rPr>
                <w:sz w:val="20"/>
              </w:rPr>
              <w:t>Device</w:t>
            </w:r>
          </w:p>
        </w:tc>
        <w:tc>
          <w:tcPr>
            <w:tcW w:w="1701" w:type="dxa"/>
            <w:tcBorders/>
          </w:tcPr>
          <w:p>
            <w:pPr>
              <w:pStyle w:val="style0"/>
              <w:spacing w:lineRule="auto" w:line="360"/>
              <w:jc w:val="right"/>
              <w:rPr>
                <w:sz w:val="20"/>
              </w:rPr>
            </w:pPr>
            <w:r>
              <w:rPr>
                <w:sz w:val="20"/>
              </w:rPr>
              <w:t>21</w:t>
            </w:r>
          </w:p>
        </w:tc>
        <w:tc>
          <w:tcPr>
            <w:tcW w:w="1843" w:type="dxa"/>
            <w:tcBorders/>
          </w:tcPr>
          <w:p>
            <w:pPr>
              <w:pStyle w:val="style0"/>
              <w:spacing w:lineRule="auto" w:line="360"/>
              <w:jc w:val="right"/>
              <w:rPr>
                <w:sz w:val="20"/>
              </w:rPr>
            </w:pPr>
            <w:r>
              <w:rPr>
                <w:sz w:val="20"/>
              </w:rPr>
              <w:t>26,6</w:t>
            </w:r>
          </w:p>
        </w:tc>
      </w:tr>
      <w:tr>
        <w:tblPrEx/>
        <w:trPr>
          <w:jc w:val="center"/>
        </w:trPr>
        <w:tc>
          <w:tcPr>
            <w:tcW w:w="2693" w:type="dxa"/>
            <w:tcBorders/>
          </w:tcPr>
          <w:p>
            <w:pPr>
              <w:pStyle w:val="style0"/>
              <w:spacing w:lineRule="auto" w:line="360"/>
              <w:jc w:val="right"/>
              <w:rPr>
                <w:sz w:val="20"/>
              </w:rPr>
            </w:pPr>
            <w:r>
              <w:rPr>
                <w:sz w:val="20"/>
              </w:rPr>
              <w:t>TOTAL</w:t>
            </w:r>
          </w:p>
        </w:tc>
        <w:tc>
          <w:tcPr>
            <w:tcW w:w="1701" w:type="dxa"/>
            <w:tcBorders/>
          </w:tcPr>
          <w:p>
            <w:pPr>
              <w:pStyle w:val="style0"/>
              <w:spacing w:lineRule="auto" w:line="360"/>
              <w:jc w:val="right"/>
              <w:rPr>
                <w:sz w:val="20"/>
              </w:rPr>
            </w:pPr>
            <w:r>
              <w:rPr>
                <w:sz w:val="20"/>
              </w:rPr>
              <w:t>79</w:t>
            </w:r>
          </w:p>
        </w:tc>
        <w:tc>
          <w:tcPr>
            <w:tcW w:w="1843" w:type="dxa"/>
            <w:tcBorders/>
          </w:tcPr>
          <w:p>
            <w:pPr>
              <w:pStyle w:val="style0"/>
              <w:spacing w:lineRule="auto" w:line="360"/>
              <w:jc w:val="right"/>
              <w:rPr>
                <w:sz w:val="20"/>
              </w:rPr>
            </w:pPr>
            <w:r>
              <w:rPr>
                <w:sz w:val="20"/>
              </w:rPr>
              <w:t>100,0</w:t>
            </w:r>
          </w:p>
        </w:tc>
      </w:tr>
    </w:tbl>
    <w:p>
      <w:pPr>
        <w:pStyle w:val="style0"/>
        <w:spacing w:lineRule="auto" w:line="360"/>
        <w:ind w:firstLine="720"/>
        <w:jc w:val="center"/>
        <w:rPr>
          <w:sz w:val="24"/>
          <w:szCs w:val="24"/>
          <w:lang w:val="ms-MY"/>
        </w:rPr>
      </w:pPr>
    </w:p>
    <w:p>
      <w:pPr>
        <w:pStyle w:val="style0"/>
        <w:spacing w:lineRule="auto" w:line="360"/>
        <w:rPr>
          <w:sz w:val="24"/>
          <w:szCs w:val="24"/>
          <w:lang w:val="ms-MY"/>
        </w:rPr>
      </w:pPr>
    </w:p>
    <w:p>
      <w:pPr>
        <w:pStyle w:val="style0"/>
        <w:spacing w:lineRule="auto" w:line="360"/>
        <w:jc w:val="center"/>
        <w:rPr>
          <w:sz w:val="24"/>
          <w:szCs w:val="24"/>
          <w:lang w:val="ms-MY"/>
        </w:rPr>
      </w:pPr>
      <w:r>
        <w:rPr>
          <w:noProof/>
          <w:sz w:val="24"/>
          <w:szCs w:val="24"/>
          <w:lang w:val="id-ID" w:eastAsia="id-ID"/>
        </w:rPr>
      </w:r>
      <w:r>
        <w:rPr>
          <w:noProof/>
          <w:sz w:val="24"/>
          <w:szCs w:val="24"/>
          <w:lang w:val="id-ID" w:eastAsia="id-ID"/>
        </w:rPr>
      </w:r>
      <w:r>
        <w:rPr>
          <w:noProof/>
          <w:sz w:val="24"/>
          <w:szCs w:val="24"/>
          <w:lang w:val="id-ID" w:eastAsia="id-ID"/>
        </w:rPr>
      </w:r>
      <w:r>
        <w:rPr>
          <w:noProof/>
          <w:sz w:val="24"/>
          <w:szCs w:val="24"/>
          <w:lang w:val="id-ID" w:eastAsia="id-ID"/>
        </w:rPr>
        <w:drawing>
          <wp:inline distL="114300" distT="0" distB="0" distR="114300">
            <wp:extent cx="4690745" cy="277500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sz w:val="24"/>
          <w:szCs w:val="24"/>
          <w:lang w:val="id-ID" w:eastAsia="id-ID"/>
        </w:rPr>
      </w:r>
    </w:p>
    <w:p>
      <w:pPr>
        <w:pStyle w:val="style0"/>
        <w:spacing w:lineRule="auto" w:line="360"/>
        <w:rPr>
          <w:sz w:val="24"/>
          <w:szCs w:val="24"/>
          <w:lang w:val="ms-MY"/>
        </w:rPr>
      </w:pPr>
    </w:p>
    <w:p>
      <w:pPr>
        <w:pStyle w:val="style0"/>
        <w:spacing w:lineRule="auto" w:line="360"/>
        <w:ind w:firstLine="720"/>
        <w:jc w:val="both"/>
        <w:rPr>
          <w:iCs/>
          <w:sz w:val="24"/>
          <w:szCs w:val="24"/>
          <w:shd w:val="clear" w:color="auto" w:fill="f5f5f5"/>
        </w:rPr>
      </w:pPr>
      <w:r>
        <w:rPr>
          <w:iCs/>
          <w:sz w:val="24"/>
          <w:szCs w:val="24"/>
          <w:shd w:val="clear" w:color="auto" w:fill="f5f5f5"/>
        </w:rPr>
        <w:t xml:space="preserve">The data above strengthens the class inequality in students, where </w:t>
      </w:r>
      <w:r>
        <w:rPr>
          <w:iCs/>
          <w:sz w:val="24"/>
          <w:szCs w:val="24"/>
          <w:shd w:val="clear" w:color="auto" w:fill="f5f5f5"/>
        </w:rPr>
        <w:t xml:space="preserve">students from </w:t>
      </w:r>
      <w:r>
        <w:rPr>
          <w:iCs/>
          <w:sz w:val="24"/>
          <w:szCs w:val="24"/>
          <w:shd w:val="clear" w:color="auto" w:fill="f5f5f5"/>
        </w:rPr>
        <w:t xml:space="preserve">the </w:t>
      </w:r>
      <w:r>
        <w:rPr>
          <w:iCs/>
          <w:sz w:val="24"/>
          <w:szCs w:val="24"/>
          <w:shd w:val="clear" w:color="auto" w:fill="f5f5f5"/>
        </w:rPr>
        <w:t>middle class and upper</w:t>
      </w:r>
      <w:r>
        <w:rPr>
          <w:iCs/>
          <w:sz w:val="24"/>
          <w:szCs w:val="24"/>
          <w:shd w:val="clear" w:color="auto" w:fill="f5f5f5"/>
        </w:rPr>
        <w:t>-</w:t>
      </w:r>
      <w:r>
        <w:rPr>
          <w:iCs/>
          <w:sz w:val="24"/>
          <w:szCs w:val="24"/>
          <w:shd w:val="clear" w:color="auto" w:fill="f5f5f5"/>
        </w:rPr>
        <w:t>class families, the online learning process is</w:t>
      </w:r>
      <w:r>
        <w:rPr>
          <w:iCs/>
          <w:sz w:val="24"/>
          <w:szCs w:val="24"/>
          <w:shd w:val="clear" w:color="auto" w:fill="f5f5f5"/>
        </w:rPr>
        <w:t xml:space="preserve"> not a problem. On the other hand, for </w:t>
      </w:r>
      <w:r>
        <w:rPr>
          <w:iCs/>
          <w:sz w:val="24"/>
          <w:szCs w:val="24"/>
          <w:shd w:val="clear" w:color="auto" w:fill="f5f5f5"/>
        </w:rPr>
        <w:t>most</w:t>
      </w:r>
      <w:r>
        <w:rPr>
          <w:iCs/>
          <w:sz w:val="24"/>
          <w:szCs w:val="24"/>
          <w:shd w:val="clear" w:color="auto" w:fill="f5f5f5"/>
        </w:rPr>
        <w:t xml:space="preserve"> students from lower</w:t>
      </w:r>
      <w:r>
        <w:rPr>
          <w:iCs/>
          <w:sz w:val="24"/>
          <w:szCs w:val="24"/>
          <w:shd w:val="clear" w:color="auto" w:fill="f5f5f5"/>
        </w:rPr>
        <w:t>-</w:t>
      </w:r>
      <w:r>
        <w:rPr>
          <w:iCs/>
          <w:sz w:val="24"/>
          <w:szCs w:val="24"/>
          <w:shd w:val="clear" w:color="auto" w:fill="f5f5f5"/>
        </w:rPr>
        <w:t>class families, it becomes a problem on the social class scale. Class inequalities occur in providing learning equipment, fulfilling quotas, and network availability.</w:t>
      </w:r>
      <w:bookmarkEnd w:id="8"/>
      <w:bookmarkEnd w:id="11"/>
    </w:p>
    <w:p>
      <w:pPr>
        <w:pStyle w:val="style0"/>
        <w:spacing w:lineRule="auto" w:line="240"/>
        <w:ind w:left="720"/>
        <w:jc w:val="both"/>
        <w:rPr>
          <w:sz w:val="24"/>
          <w:szCs w:val="24"/>
          <w:shd w:val="clear" w:color="auto" w:fill="f5f5f5"/>
        </w:rPr>
      </w:pPr>
    </w:p>
    <w:bookmarkStart w:id="12" w:name="_Hlk92532446"/>
    <w:p>
      <w:pPr>
        <w:pStyle w:val="style0"/>
        <w:spacing w:lineRule="auto" w:line="360"/>
        <w:jc w:val="both"/>
        <w:rPr>
          <w:b/>
          <w:bCs/>
          <w:sz w:val="24"/>
          <w:szCs w:val="24"/>
          <w:lang w:val="ms-MY"/>
        </w:rPr>
      </w:pPr>
      <w:r>
        <w:rPr>
          <w:b/>
          <w:bCs/>
          <w:sz w:val="24"/>
          <w:szCs w:val="24"/>
          <w:lang w:val="ms-MY"/>
        </w:rPr>
        <w:t xml:space="preserve">4.2 </w:t>
      </w:r>
      <w:r>
        <w:rPr>
          <w:b/>
          <w:bCs/>
          <w:sz w:val="24"/>
          <w:szCs w:val="24"/>
          <w:lang w:val="ms-MY"/>
        </w:rPr>
        <w:t xml:space="preserve">Factors Causing Class Inequality in Online Education </w:t>
      </w:r>
    </w:p>
    <w:p>
      <w:pPr>
        <w:pStyle w:val="style0"/>
        <w:spacing w:lineRule="auto" w:line="360"/>
        <w:jc w:val="both"/>
        <w:rPr>
          <w:b/>
          <w:bCs/>
          <w:sz w:val="24"/>
          <w:szCs w:val="24"/>
          <w:lang w:val="ms-MY"/>
        </w:rPr>
      </w:pPr>
      <w:r>
        <w:rPr>
          <w:b/>
          <w:bCs/>
          <w:sz w:val="24"/>
          <w:szCs w:val="24"/>
          <w:lang w:val="ms-MY"/>
        </w:rPr>
        <w:t xml:space="preserve">(a) </w:t>
      </w:r>
      <w:r>
        <w:rPr>
          <w:b/>
          <w:bCs/>
          <w:sz w:val="24"/>
          <w:szCs w:val="24"/>
          <w:lang w:val="ms-MY"/>
        </w:rPr>
        <w:t xml:space="preserve">Parental Economic Gap </w:t>
      </w:r>
    </w:p>
    <w:p>
      <w:pPr>
        <w:pStyle w:val="style0"/>
        <w:spacing w:lineRule="auto" w:line="360"/>
        <w:ind w:firstLine="720"/>
        <w:jc w:val="both"/>
        <w:rPr>
          <w:sz w:val="24"/>
          <w:szCs w:val="24"/>
          <w:lang w:val="ms-MY"/>
        </w:rPr>
      </w:pPr>
      <w:r>
        <w:rPr>
          <w:sz w:val="24"/>
          <w:szCs w:val="24"/>
          <w:lang w:val="ms-MY"/>
        </w:rPr>
        <w:t>The limited income owned by the parents of students may affect student learning achievement because adequate learning facilities are not fulfilled. The provision of learning facilities at home greatly facilitates students in achieving the expected ac</w:t>
      </w:r>
      <w:r>
        <w:rPr>
          <w:sz w:val="24"/>
          <w:szCs w:val="24"/>
          <w:lang w:val="ms-MY"/>
        </w:rPr>
        <w:t>complish</w:t>
      </w:r>
      <w:r>
        <w:rPr>
          <w:sz w:val="24"/>
          <w:szCs w:val="24"/>
          <w:lang w:val="ms-MY"/>
        </w:rPr>
        <w:t>ments</w:t>
      </w:r>
      <w:r>
        <w:rPr>
          <w:sz w:val="24"/>
          <w:szCs w:val="24"/>
          <w:lang w:val="ms-MY"/>
        </w:rPr>
        <w:t>. T</w:t>
      </w:r>
      <w:r>
        <w:rPr>
          <w:sz w:val="24"/>
          <w:szCs w:val="24"/>
          <w:lang w:val="ms-MY"/>
        </w:rPr>
        <w:t>he learning outcomes that have been undertaken during the learning process are very important in their function to determine the next steps in the future so that students will get the maximum possible learning outcomes. This is as explained by an informant from Mrs. Evy, a lecturer at Panca Marga University Probolinggo (informant IV.3, 32 years old) as follows:</w:t>
      </w:r>
    </w:p>
    <w:p>
      <w:pPr>
        <w:pStyle w:val="style0"/>
        <w:spacing w:lineRule="auto" w:line="240"/>
        <w:ind w:left="578"/>
        <w:jc w:val="both"/>
        <w:rPr>
          <w:sz w:val="24"/>
          <w:szCs w:val="24"/>
        </w:rPr>
      </w:pPr>
      <w:r>
        <w:rPr>
          <w:sz w:val="24"/>
          <w:szCs w:val="24"/>
        </w:rPr>
        <w:t xml:space="preserve">“The economy of parents or families is very influential on the learning facilities provided. This includes </w:t>
      </w:r>
      <w:r>
        <w:rPr>
          <w:sz w:val="24"/>
          <w:szCs w:val="24"/>
        </w:rPr>
        <w:t>supporting android phones and laptops, purchasing internet quota, and</w:t>
      </w:r>
      <w:r>
        <w:rPr>
          <w:sz w:val="24"/>
          <w:szCs w:val="24"/>
        </w:rPr>
        <w:t xml:space="preserve"> supporting lecture books. </w:t>
      </w:r>
      <w:r>
        <w:rPr>
          <w:sz w:val="24"/>
          <w:szCs w:val="24"/>
        </w:rPr>
        <w:t>So students from less fortunate families tend to be less than optimal compared to those from more affluent families.</w:t>
      </w:r>
      <w:r>
        <w:rPr>
          <w:sz w:val="24"/>
          <w:szCs w:val="24"/>
        </w:rPr>
        <w:t xml:space="preserve"> (IV. 7. 16.08) </w:t>
      </w:r>
    </w:p>
    <w:p>
      <w:pPr>
        <w:pStyle w:val="style0"/>
        <w:spacing w:lineRule="auto" w:line="240"/>
        <w:jc w:val="both"/>
        <w:rPr>
          <w:sz w:val="24"/>
          <w:szCs w:val="24"/>
          <w:lang w:val="id-ID"/>
        </w:rPr>
      </w:pPr>
    </w:p>
    <w:p>
      <w:pPr>
        <w:pStyle w:val="style0"/>
        <w:spacing w:lineRule="auto" w:line="360"/>
        <w:ind w:firstLine="720"/>
        <w:rPr>
          <w:sz w:val="24"/>
          <w:szCs w:val="24"/>
        </w:rPr>
      </w:pPr>
      <w:r>
        <w:rPr>
          <w:sz w:val="24"/>
          <w:szCs w:val="24"/>
        </w:rPr>
        <w:t>Evy's</w:t>
      </w:r>
      <w:r>
        <w:rPr>
          <w:sz w:val="24"/>
          <w:szCs w:val="24"/>
        </w:rPr>
        <w:t xml:space="preserve"> views represent the views of college lecturers, </w:t>
      </w:r>
      <w:r>
        <w:rPr>
          <w:sz w:val="24"/>
          <w:szCs w:val="24"/>
        </w:rPr>
        <w:t>Khasanah</w:t>
      </w:r>
      <w:r>
        <w:rPr>
          <w:sz w:val="24"/>
          <w:szCs w:val="24"/>
        </w:rPr>
        <w:t xml:space="preserve"> (informant 1.2, 34 years old) Lecturers at High Schools</w:t>
      </w:r>
      <w:r>
        <w:rPr>
          <w:sz w:val="24"/>
          <w:szCs w:val="24"/>
        </w:rPr>
        <w:t xml:space="preserve"> of </w:t>
      </w:r>
      <w:r>
        <w:rPr>
          <w:sz w:val="24"/>
          <w:szCs w:val="24"/>
        </w:rPr>
        <w:t>Almuslihuun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 xml:space="preserve"> corroborates this by saying</w:t>
      </w:r>
      <w:r>
        <w:rPr>
          <w:sz w:val="24"/>
          <w:szCs w:val="24"/>
        </w:rPr>
        <w:t>;</w:t>
      </w:r>
    </w:p>
    <w:p>
      <w:pPr>
        <w:pStyle w:val="style0"/>
        <w:spacing w:lineRule="auto" w:line="240"/>
        <w:ind w:left="720"/>
        <w:jc w:val="both"/>
        <w:rPr>
          <w:i/>
          <w:iCs/>
          <w:sz w:val="24"/>
          <w:szCs w:val="24"/>
        </w:rPr>
      </w:pPr>
      <w:r>
        <w:rPr>
          <w:i/>
          <w:iCs/>
          <w:sz w:val="24"/>
          <w:szCs w:val="24"/>
        </w:rPr>
        <w:t xml:space="preserve">“This is an impact that </w:t>
      </w:r>
      <w:r>
        <w:rPr>
          <w:i/>
          <w:iCs/>
          <w:sz w:val="24"/>
          <w:szCs w:val="24"/>
        </w:rPr>
        <w:t>parents feel</w:t>
      </w:r>
      <w:r>
        <w:rPr>
          <w:i/>
          <w:iCs/>
          <w:sz w:val="24"/>
          <w:szCs w:val="24"/>
        </w:rPr>
        <w:t>. With this economic gap, parents find it difficult to support their children learning from home due to limited facilities for those who do not have smartphones, laptops</w:t>
      </w:r>
      <w:r>
        <w:rPr>
          <w:i/>
          <w:iCs/>
          <w:sz w:val="24"/>
          <w:szCs w:val="24"/>
        </w:rPr>
        <w:t>,</w:t>
      </w:r>
      <w:r>
        <w:rPr>
          <w:i/>
          <w:iCs/>
          <w:sz w:val="24"/>
          <w:szCs w:val="24"/>
        </w:rPr>
        <w:t xml:space="preserve"> and internet access. As a result of the COVID-19 pandemic, many parents have dropped out of work or have difficulty finding work.” </w:t>
      </w:r>
    </w:p>
    <w:p>
      <w:pPr>
        <w:pStyle w:val="style0"/>
        <w:spacing w:lineRule="auto" w:line="240"/>
        <w:jc w:val="both"/>
        <w:rPr>
          <w:i/>
          <w:iCs/>
          <w:sz w:val="24"/>
          <w:szCs w:val="24"/>
          <w:lang w:val="ms-MY"/>
        </w:rPr>
      </w:pPr>
    </w:p>
    <w:p>
      <w:pPr>
        <w:pStyle w:val="style0"/>
        <w:spacing w:lineRule="auto" w:line="360"/>
        <w:ind w:firstLine="720"/>
        <w:jc w:val="both"/>
        <w:rPr>
          <w:sz w:val="24"/>
          <w:szCs w:val="24"/>
        </w:rPr>
      </w:pPr>
      <w:r>
        <w:rPr>
          <w:sz w:val="24"/>
          <w:szCs w:val="24"/>
        </w:rPr>
        <w:t xml:space="preserve">The </w:t>
      </w:r>
      <w:r>
        <w:rPr>
          <w:sz w:val="24"/>
          <w:szCs w:val="24"/>
        </w:rPr>
        <w:t xml:space="preserve">statement of </w:t>
      </w:r>
      <w:r>
        <w:rPr>
          <w:sz w:val="24"/>
          <w:szCs w:val="24"/>
        </w:rPr>
        <w:t>Ananda</w:t>
      </w:r>
      <w:r>
        <w:rPr>
          <w:sz w:val="24"/>
          <w:szCs w:val="24"/>
        </w:rPr>
        <w:t xml:space="preserve"> strengthened the views of the two informants</w:t>
      </w:r>
      <w:r>
        <w:rPr>
          <w:sz w:val="24"/>
          <w:szCs w:val="24"/>
        </w:rPr>
        <w:t xml:space="preserve"> (I. 7. 16.08), a student at the State Islamic University of </w:t>
      </w:r>
      <w:r>
        <w:rPr>
          <w:sz w:val="24"/>
          <w:szCs w:val="24"/>
        </w:rPr>
        <w:t>Tulungagung</w:t>
      </w:r>
      <w:r>
        <w:rPr>
          <w:sz w:val="24"/>
          <w:szCs w:val="24"/>
        </w:rPr>
        <w:t>, “</w:t>
      </w:r>
      <w:r>
        <w:rPr>
          <w:sz w:val="24"/>
          <w:szCs w:val="24"/>
        </w:rPr>
        <w:t>Less fortunate Students</w:t>
      </w:r>
      <w:r>
        <w:rPr>
          <w:sz w:val="24"/>
          <w:szCs w:val="24"/>
        </w:rPr>
        <w:t xml:space="preserve"> are likely to be the most affected. For example, students from </w:t>
      </w:r>
      <w:r>
        <w:rPr>
          <w:sz w:val="24"/>
          <w:szCs w:val="24"/>
        </w:rPr>
        <w:t>low-income</w:t>
      </w:r>
      <w:r>
        <w:rPr>
          <w:sz w:val="24"/>
          <w:szCs w:val="24"/>
        </w:rPr>
        <w:t xml:space="preserve"> families are more likely to be left behind than their classmates from rich families, who have better access to online learning.” </w:t>
      </w:r>
      <w:r>
        <w:rPr>
          <w:sz w:val="24"/>
          <w:szCs w:val="24"/>
        </w:rPr>
        <w:t>M</w:t>
      </w:r>
      <w:r>
        <w:rPr>
          <w:sz w:val="24"/>
          <w:szCs w:val="24"/>
        </w:rPr>
        <w:t>ore details can be seen in the following quantitative data:</w:t>
      </w:r>
    </w:p>
    <w:p>
      <w:pPr>
        <w:pStyle w:val="style0"/>
        <w:spacing w:lineRule="auto" w:line="360"/>
        <w:jc w:val="both"/>
        <w:rPr>
          <w:b/>
          <w:bCs/>
          <w:sz w:val="24"/>
          <w:szCs w:val="24"/>
          <w:lang w:val="ms-MY"/>
        </w:rPr>
      </w:pPr>
      <w:r>
        <w:rPr>
          <w:i/>
          <w:iCs/>
          <w:sz w:val="24"/>
          <w:szCs w:val="24"/>
        </w:rPr>
        <w:tab/>
      </w:r>
    </w:p>
    <w:p>
      <w:pPr>
        <w:pStyle w:val="style0"/>
        <w:spacing w:lineRule="auto" w:line="360"/>
        <w:jc w:val="both"/>
        <w:rPr>
          <w:b/>
          <w:bCs/>
          <w:sz w:val="24"/>
          <w:szCs w:val="24"/>
          <w:lang w:val="ms-MY"/>
        </w:rPr>
      </w:pPr>
      <w:r>
        <w:rPr>
          <w:b/>
          <w:bCs/>
          <w:sz w:val="24"/>
          <w:szCs w:val="24"/>
          <w:lang w:val="ms-MY"/>
        </w:rPr>
        <w:t xml:space="preserve">(b) </w:t>
      </w:r>
      <w:r>
        <w:rPr>
          <w:b/>
          <w:bCs/>
          <w:sz w:val="24"/>
          <w:szCs w:val="24"/>
          <w:lang w:val="ms-MY"/>
        </w:rPr>
        <w:t xml:space="preserve">Parental Education Gap </w:t>
      </w:r>
    </w:p>
    <w:p>
      <w:pPr>
        <w:pStyle w:val="style0"/>
        <w:spacing w:lineRule="auto" w:line="360"/>
        <w:ind w:firstLine="720"/>
        <w:jc w:val="both"/>
        <w:rPr>
          <w:sz w:val="24"/>
          <w:szCs w:val="24"/>
        </w:rPr>
      </w:pPr>
      <w:r>
        <w:rPr>
          <w:sz w:val="24"/>
          <w:szCs w:val="24"/>
        </w:rPr>
        <w:t>The educational gap of parents greatly influences the</w:t>
      </w:r>
      <w:r>
        <w:rPr>
          <w:sz w:val="24"/>
          <w:szCs w:val="24"/>
        </w:rPr>
        <w:t>ir children's success</w:t>
      </w:r>
      <w:r>
        <w:rPr>
          <w:sz w:val="24"/>
          <w:szCs w:val="24"/>
        </w:rPr>
        <w:t xml:space="preserve"> in online learning</w:t>
      </w:r>
      <w:r>
        <w:rPr>
          <w:sz w:val="24"/>
          <w:szCs w:val="24"/>
        </w:rPr>
        <w:t>. T</w:t>
      </w:r>
      <w:r>
        <w:rPr>
          <w:sz w:val="24"/>
          <w:szCs w:val="24"/>
        </w:rPr>
        <w:t>his is because educated parents will pay attention to and support their children and prepare the necessary facilities, as stated by one lecturer at the State Islamic University, one mother</w:t>
      </w:r>
      <w:r>
        <w:rPr>
          <w:sz w:val="24"/>
          <w:szCs w:val="24"/>
        </w:rPr>
        <w:t>,</w:t>
      </w:r>
      <w:r>
        <w:rPr>
          <w:sz w:val="24"/>
          <w:szCs w:val="24"/>
        </w:rPr>
        <w:t xml:space="preserve"> </w:t>
      </w:r>
      <w:r>
        <w:rPr>
          <w:sz w:val="24"/>
          <w:szCs w:val="24"/>
        </w:rPr>
        <w:t>Rini</w:t>
      </w:r>
      <w:r>
        <w:rPr>
          <w:sz w:val="24"/>
          <w:szCs w:val="24"/>
        </w:rPr>
        <w:t xml:space="preserve"> (informant 7.56). </w:t>
      </w:r>
      <w:r>
        <w:rPr>
          <w:sz w:val="24"/>
          <w:szCs w:val="24"/>
        </w:rPr>
        <w:t>year</w:t>
      </w:r>
      <w:r>
        <w:rPr>
          <w:sz w:val="24"/>
          <w:szCs w:val="24"/>
        </w:rPr>
        <w:t>) as follows:</w:t>
      </w:r>
    </w:p>
    <w:p>
      <w:pPr>
        <w:pStyle w:val="style0"/>
        <w:spacing w:lineRule="auto" w:line="240"/>
        <w:ind w:left="720"/>
        <w:jc w:val="both"/>
        <w:rPr>
          <w:i/>
          <w:iCs/>
          <w:sz w:val="24"/>
          <w:szCs w:val="24"/>
        </w:rPr>
      </w:pPr>
      <w:r>
        <w:rPr>
          <w:i/>
          <w:iCs/>
          <w:sz w:val="24"/>
          <w:szCs w:val="24"/>
        </w:rPr>
        <w:t xml:space="preserve">“In Distance Learning, the lecturer is no longer the </w:t>
      </w:r>
      <w:r>
        <w:rPr>
          <w:i/>
          <w:iCs/>
          <w:sz w:val="24"/>
          <w:szCs w:val="24"/>
        </w:rPr>
        <w:t>center</w:t>
      </w:r>
      <w:r>
        <w:rPr>
          <w:i/>
          <w:iCs/>
          <w:sz w:val="24"/>
          <w:szCs w:val="24"/>
        </w:rPr>
        <w:t xml:space="preserve"> of student learning, but as the focus/facilitator who maintains the </w:t>
      </w:r>
      <w:r>
        <w:rPr>
          <w:i/>
          <w:iCs/>
          <w:sz w:val="24"/>
          <w:szCs w:val="24"/>
        </w:rPr>
        <w:t>teaching and learning process continuity</w:t>
      </w:r>
      <w:r>
        <w:rPr>
          <w:i/>
          <w:iCs/>
          <w:sz w:val="24"/>
          <w:szCs w:val="24"/>
        </w:rPr>
        <w:t xml:space="preserve">. Parents are asked to </w:t>
      </w:r>
      <w:r>
        <w:rPr>
          <w:i/>
          <w:iCs/>
          <w:sz w:val="24"/>
          <w:szCs w:val="24"/>
        </w:rPr>
        <w:t>monitor</w:t>
      </w:r>
      <w:r>
        <w:rPr>
          <w:i/>
          <w:iCs/>
          <w:sz w:val="24"/>
          <w:szCs w:val="24"/>
        </w:rPr>
        <w:t xml:space="preserve"> their children at home while Distance Learning is still </w:t>
      </w:r>
      <w:r>
        <w:rPr>
          <w:i/>
          <w:iCs/>
          <w:sz w:val="24"/>
          <w:szCs w:val="24"/>
        </w:rPr>
        <w:t>ongoing</w:t>
      </w:r>
      <w:r>
        <w:rPr>
          <w:i/>
          <w:iCs/>
          <w:sz w:val="24"/>
          <w:szCs w:val="24"/>
        </w:rPr>
        <w:t>. Unfortunately, not all families have ideal conditions for children to study at home. Most parents cannot accompany their children when they study at home</w:t>
      </w:r>
      <w:r>
        <w:rPr>
          <w:i/>
          <w:iCs/>
          <w:sz w:val="24"/>
          <w:szCs w:val="24"/>
        </w:rPr>
        <w:t xml:space="preserve"> because they also have to work. Most of them have a low level of education, so they cannot</w:t>
      </w:r>
      <w:r>
        <w:rPr>
          <w:i/>
          <w:iCs/>
          <w:sz w:val="24"/>
          <w:szCs w:val="24"/>
        </w:rPr>
        <w:t xml:space="preserve"> understand the importance of education”. </w:t>
      </w:r>
    </w:p>
    <w:p>
      <w:pPr>
        <w:pStyle w:val="style0"/>
        <w:spacing w:lineRule="auto" w:line="240"/>
        <w:jc w:val="both"/>
        <w:rPr>
          <w:sz w:val="24"/>
          <w:szCs w:val="24"/>
        </w:rPr>
      </w:pPr>
    </w:p>
    <w:p>
      <w:pPr>
        <w:pStyle w:val="style0"/>
        <w:spacing w:lineRule="auto" w:line="360"/>
        <w:ind w:firstLine="720"/>
        <w:jc w:val="both"/>
        <w:rPr>
          <w:sz w:val="24"/>
          <w:szCs w:val="24"/>
        </w:rPr>
      </w:pPr>
      <w:r>
        <w:rPr>
          <w:sz w:val="24"/>
          <w:szCs w:val="24"/>
        </w:rPr>
        <w:t>Mrs.</w:t>
      </w:r>
      <w:r>
        <w:rPr>
          <w:sz w:val="24"/>
          <w:szCs w:val="24"/>
        </w:rPr>
        <w:t xml:space="preserve"> </w:t>
      </w:r>
      <w:r>
        <w:rPr>
          <w:sz w:val="24"/>
          <w:szCs w:val="24"/>
        </w:rPr>
        <w:t>Rini's</w:t>
      </w:r>
      <w:r>
        <w:rPr>
          <w:sz w:val="24"/>
          <w:szCs w:val="24"/>
        </w:rPr>
        <w:t xml:space="preserve"> view represents the views of some lecturers at the university. Event (informant 3, 36 years) confirms this by </w:t>
      </w:r>
      <w:r>
        <w:rPr>
          <w:sz w:val="24"/>
          <w:szCs w:val="24"/>
        </w:rPr>
        <w:t>saying "</w:t>
      </w:r>
    </w:p>
    <w:p>
      <w:pPr>
        <w:pStyle w:val="style0"/>
        <w:spacing w:lineRule="auto" w:line="240"/>
        <w:ind w:left="720"/>
        <w:jc w:val="both"/>
        <w:rPr>
          <w:sz w:val="24"/>
          <w:szCs w:val="24"/>
        </w:rPr>
      </w:pPr>
      <w:r>
        <w:rPr>
          <w:sz w:val="24"/>
          <w:szCs w:val="24"/>
        </w:rPr>
        <w:t xml:space="preserve">“Parents with low education </w:t>
      </w:r>
      <w:r>
        <w:rPr>
          <w:sz w:val="24"/>
          <w:szCs w:val="24"/>
        </w:rPr>
        <w:t>affect</w:t>
      </w:r>
      <w:r>
        <w:rPr>
          <w:sz w:val="24"/>
          <w:szCs w:val="24"/>
        </w:rPr>
        <w:t xml:space="preserve"> their support for their children's education.  </w:t>
      </w:r>
      <w:r>
        <w:rPr>
          <w:sz w:val="24"/>
          <w:szCs w:val="24"/>
        </w:rPr>
        <w:t>T</w:t>
      </w:r>
      <w:r>
        <w:rPr>
          <w:sz w:val="24"/>
          <w:szCs w:val="24"/>
        </w:rPr>
        <w:t>hey</w:t>
      </w:r>
      <w:r>
        <w:rPr>
          <w:sz w:val="24"/>
          <w:szCs w:val="24"/>
        </w:rPr>
        <w:t xml:space="preserve"> usually</w:t>
      </w:r>
      <w:r>
        <w:rPr>
          <w:sz w:val="24"/>
          <w:szCs w:val="24"/>
        </w:rPr>
        <w:t xml:space="preserve"> pay less attention to the needs of facilities and infrastructure to support their children's learning. Meanwhile, the community around us is still a lot of students from lower</w:t>
      </w:r>
      <w:r>
        <w:rPr>
          <w:sz w:val="24"/>
          <w:szCs w:val="24"/>
        </w:rPr>
        <w:t>-</w:t>
      </w:r>
      <w:r>
        <w:rPr>
          <w:sz w:val="24"/>
          <w:szCs w:val="24"/>
        </w:rPr>
        <w:t>middle</w:t>
      </w:r>
      <w:r>
        <w:rPr>
          <w:sz w:val="24"/>
          <w:szCs w:val="24"/>
        </w:rPr>
        <w:t>-</w:t>
      </w:r>
      <w:r>
        <w:rPr>
          <w:sz w:val="24"/>
          <w:szCs w:val="24"/>
        </w:rPr>
        <w:t xml:space="preserve">class families with limited educational facilities provided by their parents”. </w:t>
      </w:r>
    </w:p>
    <w:bookmarkStart w:id="13" w:name="_Hlk92629518"/>
    <w:p>
      <w:pPr>
        <w:pStyle w:val="style0"/>
        <w:spacing w:lineRule="auto" w:line="360"/>
        <w:jc w:val="both"/>
        <w:rPr>
          <w:sz w:val="24"/>
          <w:szCs w:val="24"/>
          <w:lang w:val="id-ID"/>
        </w:rPr>
      </w:pPr>
    </w:p>
    <w:bookmarkEnd w:id="13"/>
    <w:p>
      <w:pPr>
        <w:pStyle w:val="style0"/>
        <w:spacing w:lineRule="auto" w:line="360"/>
        <w:ind w:firstLine="720"/>
        <w:jc w:val="both"/>
        <w:rPr>
          <w:sz w:val="24"/>
          <w:szCs w:val="24"/>
          <w:lang w:val="id-ID"/>
        </w:rPr>
      </w:pPr>
      <w:r>
        <w:rPr>
          <w:sz w:val="24"/>
          <w:szCs w:val="24"/>
          <w:lang w:val="id-ID"/>
        </w:rPr>
        <w:t>Data from social media shows that because parents' education factors affect learning outcomes from home, as explained by the Head of the Research and Development Agency and Books (Head of Research and Development and Books) Totok Suprayitno that "Parents have a fairly central role in the implementation of learning from home. Nearly 90 percent of parents accompany their children to study from home at all levels of education. Although there are prominent complaints, parents do not understand the teaching material" (Source: PRESS RELEASE Number: 147/Sipres/A6/VI/2020).</w:t>
      </w:r>
    </w:p>
    <w:p>
      <w:pPr>
        <w:pStyle w:val="style0"/>
        <w:spacing w:lineRule="auto" w:line="360"/>
        <w:jc w:val="both"/>
        <w:rPr>
          <w:b/>
          <w:bCs/>
          <w:sz w:val="24"/>
          <w:szCs w:val="24"/>
          <w:lang w:val="ms-MY"/>
        </w:rPr>
      </w:pPr>
      <w:r>
        <w:rPr>
          <w:b/>
          <w:bCs/>
          <w:sz w:val="24"/>
          <w:szCs w:val="24"/>
          <w:lang w:val="ms-MY"/>
        </w:rPr>
        <w:t xml:space="preserve">(c) </w:t>
      </w:r>
      <w:r>
        <w:rPr>
          <w:b/>
          <w:bCs/>
          <w:sz w:val="24"/>
          <w:szCs w:val="24"/>
          <w:lang w:val="ms-MY"/>
        </w:rPr>
        <w:t xml:space="preserve">Regional/Residential Gap </w:t>
      </w:r>
    </w:p>
    <w:p>
      <w:pPr>
        <w:pStyle w:val="style0"/>
        <w:spacing w:lineRule="auto" w:line="360"/>
        <w:jc w:val="both"/>
        <w:rPr>
          <w:sz w:val="24"/>
          <w:szCs w:val="24"/>
          <w:lang w:val="ms-MY"/>
        </w:rPr>
      </w:pPr>
      <w:r>
        <w:rPr>
          <w:sz w:val="24"/>
          <w:szCs w:val="24"/>
          <w:lang w:val="ms-MY"/>
        </w:rPr>
        <w:t>Regional disparities affect success in online education, as expressed by Evy, a lecturer at Panca Marga University Probolinggo</w:t>
      </w:r>
      <w:r>
        <w:rPr>
          <w:sz w:val="24"/>
          <w:szCs w:val="24"/>
          <w:lang w:val="ms-MY"/>
        </w:rPr>
        <w:t>,</w:t>
      </w:r>
      <w:r>
        <w:rPr>
          <w:sz w:val="24"/>
          <w:szCs w:val="24"/>
          <w:lang w:val="ms-MY"/>
        </w:rPr>
        <w:t xml:space="preserve"> as follows:</w:t>
      </w:r>
    </w:p>
    <w:p>
      <w:pPr>
        <w:pStyle w:val="style0"/>
        <w:spacing w:lineRule="auto" w:line="240"/>
        <w:ind w:left="720"/>
        <w:jc w:val="both"/>
        <w:rPr>
          <w:i/>
          <w:iCs/>
          <w:sz w:val="24"/>
          <w:szCs w:val="24"/>
          <w:lang w:val="ms-MY"/>
        </w:rPr>
      </w:pPr>
      <w:r>
        <w:rPr>
          <w:i/>
          <w:iCs/>
          <w:sz w:val="24"/>
          <w:szCs w:val="24"/>
          <w:lang w:val="ms-MY"/>
        </w:rPr>
        <w:t xml:space="preserve">“The factor most affected by the gap in student housing is the acquisition and smoothness of their internet network. So participating in online learning is also constrained. Our students from the mountains often complain about frequent power cuts in their homes, while their lectures are usually in the afternoon or evening because they study while </w:t>
      </w:r>
      <w:r>
        <w:rPr>
          <w:i/>
          <w:iCs/>
          <w:sz w:val="24"/>
          <w:szCs w:val="24"/>
          <w:lang w:val="ms-MY"/>
        </w:rPr>
        <w:t xml:space="preserve">they are </w:t>
      </w:r>
      <w:r>
        <w:rPr>
          <w:i/>
          <w:iCs/>
          <w:sz w:val="24"/>
          <w:szCs w:val="24"/>
          <w:lang w:val="ms-MY"/>
        </w:rPr>
        <w:t xml:space="preserve">working. So the lecturer was forced to replace the lectures of students who were constrained by power outages by giving assignments because they couldn't follow the zoom." </w:t>
      </w:r>
    </w:p>
    <w:p>
      <w:pPr>
        <w:pStyle w:val="style0"/>
        <w:spacing w:lineRule="auto" w:line="240"/>
        <w:ind w:left="720"/>
        <w:jc w:val="both"/>
        <w:rPr>
          <w:i/>
          <w:iCs/>
          <w:sz w:val="24"/>
          <w:szCs w:val="24"/>
          <w:lang w:val="ms-MY"/>
        </w:rPr>
      </w:pPr>
    </w:p>
    <w:p>
      <w:pPr>
        <w:pStyle w:val="style0"/>
        <w:spacing w:lineRule="auto" w:line="360"/>
        <w:ind w:firstLine="720"/>
        <w:jc w:val="both"/>
        <w:rPr>
          <w:sz w:val="24"/>
          <w:szCs w:val="24"/>
        </w:rPr>
      </w:pPr>
      <w:r>
        <w:rPr>
          <w:sz w:val="24"/>
          <w:szCs w:val="24"/>
        </w:rPr>
        <w:t>Dian, a student at the Islamic University of Malang, expressed her concern over this regional disparity by saying:</w:t>
      </w:r>
    </w:p>
    <w:p>
      <w:pPr>
        <w:pStyle w:val="style0"/>
        <w:spacing w:lineRule="auto" w:line="240"/>
        <w:ind w:left="720"/>
        <w:jc w:val="both"/>
        <w:rPr>
          <w:i/>
          <w:iCs/>
          <w:sz w:val="24"/>
          <w:szCs w:val="24"/>
        </w:rPr>
      </w:pPr>
      <w:r>
        <w:rPr>
          <w:i/>
          <w:iCs/>
          <w:sz w:val="24"/>
          <w:szCs w:val="24"/>
        </w:rPr>
        <w:t xml:space="preserve">“Residents that may be far from urban </w:t>
      </w:r>
      <w:r>
        <w:rPr>
          <w:i/>
          <w:iCs/>
          <w:sz w:val="24"/>
          <w:szCs w:val="24"/>
        </w:rPr>
        <w:t>centers</w:t>
      </w:r>
      <w:r>
        <w:rPr>
          <w:i/>
          <w:iCs/>
          <w:sz w:val="24"/>
          <w:szCs w:val="24"/>
        </w:rPr>
        <w:t xml:space="preserve"> or rural areas </w:t>
      </w:r>
      <w:r>
        <w:rPr>
          <w:i/>
          <w:iCs/>
          <w:sz w:val="24"/>
          <w:szCs w:val="24"/>
        </w:rPr>
        <w:t>have difficulty accessing transportation, and areas that do not have access/difficulty for the</w:t>
      </w:r>
      <w:r>
        <w:rPr>
          <w:i/>
          <w:iCs/>
          <w:sz w:val="24"/>
          <w:szCs w:val="24"/>
        </w:rPr>
        <w:t xml:space="preserve"> internet. They are in limited facilities, financially constrained, and difficult in the teaching and learning process during a pandemic. Therefore, government policies are urgently needed</w:t>
      </w:r>
      <w:r>
        <w:rPr>
          <w:i/>
          <w:iCs/>
          <w:sz w:val="24"/>
          <w:szCs w:val="24"/>
        </w:rPr>
        <w:t xml:space="preserve"> to prepare internet access facilities and</w:t>
      </w:r>
      <w:r>
        <w:rPr>
          <w:i/>
          <w:iCs/>
          <w:sz w:val="24"/>
          <w:szCs w:val="24"/>
        </w:rPr>
        <w:t xml:space="preserve"> support the teaching and learning process.” </w:t>
      </w:r>
    </w:p>
    <w:p>
      <w:pPr>
        <w:pStyle w:val="style0"/>
        <w:spacing w:lineRule="auto" w:line="240"/>
        <w:jc w:val="both"/>
        <w:rPr>
          <w:sz w:val="24"/>
          <w:szCs w:val="24"/>
        </w:rPr>
      </w:pPr>
    </w:p>
    <w:p>
      <w:pPr>
        <w:pStyle w:val="style0"/>
        <w:spacing w:lineRule="auto" w:line="360"/>
        <w:ind w:firstLine="720"/>
        <w:rPr>
          <w:sz w:val="24"/>
          <w:szCs w:val="24"/>
        </w:rPr>
      </w:pPr>
      <w:r>
        <w:rPr>
          <w:sz w:val="24"/>
          <w:szCs w:val="24"/>
        </w:rPr>
        <w:t xml:space="preserve">The </w:t>
      </w:r>
      <w:r>
        <w:rPr>
          <w:sz w:val="24"/>
          <w:szCs w:val="24"/>
        </w:rPr>
        <w:t xml:space="preserve">statement of </w:t>
      </w:r>
      <w:r>
        <w:rPr>
          <w:sz w:val="24"/>
          <w:szCs w:val="24"/>
        </w:rPr>
        <w:t>Khasanah</w:t>
      </w:r>
      <w:r>
        <w:rPr>
          <w:sz w:val="24"/>
          <w:szCs w:val="24"/>
        </w:rPr>
        <w:t xml:space="preserve"> corroborates the two opinions above. A</w:t>
      </w:r>
      <w:r>
        <w:rPr>
          <w:sz w:val="24"/>
          <w:szCs w:val="24"/>
        </w:rPr>
        <w:t xml:space="preserve"> lecturer at the High School</w:t>
      </w:r>
      <w:r>
        <w:rPr>
          <w:sz w:val="24"/>
          <w:szCs w:val="24"/>
        </w:rPr>
        <w:t xml:space="preserve"> of </w:t>
      </w:r>
      <w:r>
        <w:rPr>
          <w:sz w:val="24"/>
          <w:szCs w:val="24"/>
        </w:rPr>
        <w:t>Al-</w:t>
      </w:r>
      <w:r>
        <w:rPr>
          <w:sz w:val="24"/>
          <w:szCs w:val="24"/>
        </w:rPr>
        <w:t>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 xml:space="preserve"> said, “For those who live in remote villages, there are problems with very low signal and internet access. </w:t>
      </w:r>
      <w:r>
        <w:rPr>
          <w:sz w:val="24"/>
          <w:szCs w:val="24"/>
        </w:rPr>
        <w:t>Wifi</w:t>
      </w:r>
      <w:r>
        <w:rPr>
          <w:sz w:val="24"/>
          <w:szCs w:val="24"/>
        </w:rPr>
        <w:t>-based places and remote places affect the ability of the community to absorb the latest technological advances.</w:t>
      </w:r>
    </w:p>
    <w:p>
      <w:pPr>
        <w:pStyle w:val="style0"/>
        <w:spacing w:lineRule="auto" w:line="360"/>
        <w:jc w:val="center"/>
        <w:rPr>
          <w:b/>
          <w:bCs/>
          <w:sz w:val="24"/>
          <w:szCs w:val="24"/>
          <w:lang w:val="ms-MY"/>
        </w:rPr>
      </w:pPr>
      <w:r>
        <w:rPr>
          <w:noProof/>
          <w:lang w:val="id-ID" w:eastAsia="id-ID"/>
        </w:rPr>
        <w:object>
          <v:shape id="1028" type="#_x0000_t75" filled="f" stroked="f" alt="Hambatan 'belajar dari rumah' sudah banyak dibicarakan, tapi dampak kesulitan yang dialami para siswa di pedalaman atau dari keluarga miskin jarang dibahas publik, kata peneliti Smeru, Ulfah Alifia." style="margin-left:0.0pt;margin-top:0.0pt;width:207.5pt;height:90.0pt;mso-wrap-distance-left:0.0pt;mso-wrap-distance-right:0.0pt;visibility:visible;">
            <w10:anchorlock/>
            <v:imagedata r:id="rId5" embosscolor="white" o:title=""/>
            <v:stroke on="f"/>
            <v:fill/>
          </v:shape>
          <o:OLEObject Type="EMBED" ProgID="Excel.Chart.8" ShapeID="1028" DrawAspect="Content" ObjectID="0" r:id="rId6"/>
        </w:object>
      </w:r>
    </w:p>
    <w:p>
      <w:pPr>
        <w:pStyle w:val="style0"/>
        <w:spacing w:lineRule="auto" w:line="360"/>
        <w:jc w:val="both"/>
        <w:rPr>
          <w:sz w:val="24"/>
          <w:szCs w:val="24"/>
          <w:lang w:val="ms-MY"/>
        </w:rPr>
      </w:pPr>
    </w:p>
    <w:p>
      <w:pPr>
        <w:pStyle w:val="style0"/>
        <w:spacing w:lineRule="auto" w:line="360"/>
        <w:jc w:val="center"/>
        <w:rPr>
          <w:sz w:val="24"/>
          <w:szCs w:val="24"/>
          <w:lang w:val="ms-MY"/>
        </w:rPr>
      </w:pPr>
      <w:r>
        <w:rPr>
          <w:sz w:val="24"/>
          <w:szCs w:val="24"/>
          <w:lang w:val="ms-MY"/>
        </w:rPr>
        <w:t xml:space="preserve">Documented data on the impact of online learning </w:t>
      </w:r>
      <w:r>
        <w:rPr>
          <w:sz w:val="24"/>
          <w:szCs w:val="24"/>
          <w:lang w:val="ms-MY"/>
        </w:rPr>
        <w:t>on</w:t>
      </w:r>
      <w:r>
        <w:rPr>
          <w:sz w:val="24"/>
          <w:szCs w:val="24"/>
          <w:lang w:val="ms-MY"/>
        </w:rPr>
        <w:t xml:space="preserve"> </w:t>
      </w:r>
      <w:r>
        <w:rPr>
          <w:sz w:val="24"/>
          <w:szCs w:val="24"/>
          <w:lang w:val="ms-MY"/>
        </w:rPr>
        <w:t>low-income</w:t>
      </w:r>
      <w:r>
        <w:rPr>
          <w:sz w:val="24"/>
          <w:szCs w:val="24"/>
          <w:lang w:val="ms-MY"/>
        </w:rPr>
        <w:t xml:space="preserve"> families (Antara Foto/Bayu Pratama S)</w:t>
      </w:r>
    </w:p>
    <w:p>
      <w:pPr>
        <w:pStyle w:val="style0"/>
        <w:spacing w:lineRule="auto" w:line="360"/>
        <w:ind w:firstLine="720"/>
        <w:jc w:val="both"/>
        <w:rPr>
          <w:sz w:val="24"/>
          <w:szCs w:val="24"/>
          <w:lang w:val="ms-MY"/>
        </w:rPr>
      </w:pPr>
      <w:r>
        <w:rPr>
          <w:sz w:val="24"/>
          <w:szCs w:val="24"/>
          <w:lang w:val="ms-MY"/>
        </w:rPr>
        <w:t xml:space="preserve">Interview data and data from social media that have been shown show that online education at universities during this covid period in its implementation </w:t>
      </w:r>
      <w:r>
        <w:rPr>
          <w:sz w:val="24"/>
          <w:szCs w:val="24"/>
          <w:lang w:val="ms-MY"/>
        </w:rPr>
        <w:t>several factors</w:t>
      </w:r>
      <w:r>
        <w:rPr>
          <w:sz w:val="24"/>
          <w:szCs w:val="24"/>
          <w:lang w:val="ms-MY"/>
        </w:rPr>
        <w:t xml:space="preserve"> cause class inequality: the economic gap factor, the parent education gap factor</w:t>
      </w:r>
      <w:r>
        <w:rPr>
          <w:sz w:val="24"/>
          <w:szCs w:val="24"/>
          <w:lang w:val="ms-MY"/>
        </w:rPr>
        <w:t>,</w:t>
      </w:r>
      <w:r>
        <w:rPr>
          <w:sz w:val="24"/>
          <w:szCs w:val="24"/>
          <w:lang w:val="ms-MY"/>
        </w:rPr>
        <w:t xml:space="preserve"> and the student residence area gap factor. The size of these factors affects class inequality</w:t>
      </w:r>
      <w:r>
        <w:rPr>
          <w:sz w:val="24"/>
          <w:szCs w:val="24"/>
          <w:lang w:val="ms-MY"/>
        </w:rPr>
        <w:t>. B</w:t>
      </w:r>
      <w:r>
        <w:rPr>
          <w:sz w:val="24"/>
          <w:szCs w:val="24"/>
          <w:lang w:val="ms-MY"/>
        </w:rPr>
        <w:t xml:space="preserve">ased on Maxqda's analysis of the collected data, it shows that the economic factor of parents is the main factor with a rate of 55.8%. This means that </w:t>
      </w:r>
      <w:r>
        <w:rPr>
          <w:sz w:val="24"/>
          <w:szCs w:val="24"/>
          <w:lang w:val="ms-MY"/>
        </w:rPr>
        <w:t>the low economic level of parents causes class inequality that occurs as a result of online learning</w:t>
      </w:r>
      <w:r>
        <w:rPr>
          <w:sz w:val="24"/>
          <w:szCs w:val="24"/>
          <w:lang w:val="ms-MY"/>
        </w:rPr>
        <w:t xml:space="preserve">. While </w:t>
      </w:r>
      <w:r>
        <w:rPr>
          <w:sz w:val="24"/>
          <w:szCs w:val="24"/>
          <w:lang w:val="ms-MY"/>
        </w:rPr>
        <w:t>parents' educational background</w:t>
      </w:r>
      <w:r>
        <w:rPr>
          <w:sz w:val="24"/>
          <w:szCs w:val="24"/>
          <w:lang w:val="ms-MY"/>
        </w:rPr>
        <w:t xml:space="preserve"> has a small level, at 7.7%, it affects the smoothness of online learning. This shows that </w:t>
      </w:r>
      <w:r>
        <w:rPr>
          <w:sz w:val="24"/>
          <w:szCs w:val="24"/>
          <w:lang w:val="ms-MY"/>
        </w:rPr>
        <w:t>parents' educational background</w:t>
      </w:r>
      <w:r>
        <w:rPr>
          <w:sz w:val="24"/>
          <w:szCs w:val="24"/>
          <w:lang w:val="ms-MY"/>
        </w:rPr>
        <w:t xml:space="preserve"> is not the main factor triggering the student class gap. </w:t>
      </w:r>
      <w:r>
        <w:rPr>
          <w:sz w:val="24"/>
          <w:szCs w:val="24"/>
          <w:lang w:val="ms-MY"/>
        </w:rPr>
        <w:t>At the same time,</w:t>
      </w:r>
      <w:r>
        <w:rPr>
          <w:sz w:val="24"/>
          <w:szCs w:val="24"/>
          <w:lang w:val="ms-MY"/>
        </w:rPr>
        <w:t xml:space="preserve"> the geographic factor of 36.5% shows a </w:t>
      </w:r>
      <w:r>
        <w:rPr>
          <w:sz w:val="24"/>
          <w:szCs w:val="24"/>
          <w:lang w:val="ms-MY"/>
        </w:rPr>
        <w:t>relative</w:t>
      </w:r>
      <w:r>
        <w:rPr>
          <w:sz w:val="24"/>
          <w:szCs w:val="24"/>
          <w:lang w:val="ms-MY"/>
        </w:rPr>
        <w:t>ly high number as a trigger in student class inequality as the impact of online learning. (Researcher analysis based on Maxqda).</w:t>
      </w:r>
    </w:p>
    <w:bookmarkEnd w:id="12"/>
    <w:p>
      <w:pPr>
        <w:pStyle w:val="style0"/>
        <w:spacing w:lineRule="auto" w:line="360"/>
        <w:jc w:val="center"/>
        <w:rPr>
          <w:sz w:val="24"/>
          <w:szCs w:val="24"/>
        </w:rPr>
      </w:pPr>
    </w:p>
    <w:p>
      <w:pPr>
        <w:pStyle w:val="style0"/>
        <w:spacing w:lineRule="auto" w:line="360"/>
        <w:jc w:val="center"/>
        <w:rPr>
          <w:sz w:val="24"/>
          <w:szCs w:val="24"/>
        </w:rPr>
      </w:pPr>
      <w:r>
        <w:rPr>
          <w:sz w:val="24"/>
          <w:szCs w:val="24"/>
        </w:rPr>
        <w:t>Table 2.</w:t>
      </w:r>
      <w:r>
        <w:rPr>
          <w:sz w:val="24"/>
          <w:szCs w:val="24"/>
        </w:rPr>
        <w:t xml:space="preserve"> Factors that cause class inequality in Online Learning</w:t>
      </w:r>
    </w:p>
    <w:tbl>
      <w:tblPr>
        <w:tblStyle w:val="style4115"/>
        <w:tblW w:w="0" w:type="auto"/>
        <w:jc w:val="center"/>
        <w:tblLook w:val="04A0" w:firstRow="1" w:lastRow="0" w:firstColumn="1" w:lastColumn="0" w:noHBand="0" w:noVBand="1"/>
      </w:tblPr>
      <w:tblGrid>
        <w:gridCol w:w="3118"/>
        <w:gridCol w:w="1637"/>
        <w:gridCol w:w="1907"/>
      </w:tblGrid>
      <w:tr>
        <w:trPr>
          <w:jc w:val="center"/>
        </w:trPr>
        <w:tc>
          <w:tcPr>
            <w:tcW w:w="3118" w:type="dxa"/>
            <w:tcBorders/>
            <w:shd w:val="clear" w:color="auto" w:fill="f2dbdb"/>
          </w:tcPr>
          <w:p>
            <w:pPr>
              <w:pStyle w:val="style0"/>
              <w:spacing w:lineRule="auto" w:line="360"/>
              <w:jc w:val="center"/>
              <w:rPr>
                <w:sz w:val="20"/>
              </w:rPr>
            </w:pPr>
          </w:p>
        </w:tc>
        <w:tc>
          <w:tcPr>
            <w:tcW w:w="1637" w:type="dxa"/>
            <w:tcBorders/>
            <w:shd w:val="clear" w:color="auto" w:fill="f2dbdb"/>
          </w:tcPr>
          <w:p>
            <w:pPr>
              <w:pStyle w:val="style0"/>
              <w:spacing w:lineRule="auto" w:line="360"/>
              <w:jc w:val="center"/>
              <w:rPr>
                <w:sz w:val="20"/>
              </w:rPr>
            </w:pPr>
            <w:r>
              <w:rPr>
                <w:sz w:val="20"/>
              </w:rPr>
              <w:t>Segments</w:t>
            </w:r>
          </w:p>
        </w:tc>
        <w:tc>
          <w:tcPr>
            <w:tcW w:w="1907" w:type="dxa"/>
            <w:tcBorders/>
            <w:shd w:val="clear" w:color="auto" w:fill="f2dbdb"/>
          </w:tcPr>
          <w:p>
            <w:pPr>
              <w:pStyle w:val="style0"/>
              <w:spacing w:lineRule="auto" w:line="360"/>
              <w:jc w:val="center"/>
              <w:rPr>
                <w:sz w:val="20"/>
              </w:rPr>
            </w:pPr>
            <w:r>
              <w:rPr>
                <w:sz w:val="20"/>
              </w:rPr>
              <w:t>Percentage</w:t>
            </w:r>
          </w:p>
        </w:tc>
      </w:tr>
      <w:tr>
        <w:tblPrEx/>
        <w:trPr>
          <w:jc w:val="center"/>
        </w:trPr>
        <w:tc>
          <w:tcPr>
            <w:tcW w:w="3118" w:type="dxa"/>
            <w:tcBorders/>
          </w:tcPr>
          <w:p>
            <w:pPr>
              <w:pStyle w:val="style0"/>
              <w:spacing w:lineRule="auto" w:line="360"/>
              <w:rPr>
                <w:b w:val="false"/>
                <w:bCs w:val="false"/>
                <w:sz w:val="20"/>
              </w:rPr>
            </w:pPr>
            <w:r>
              <w:rPr>
                <w:sz w:val="20"/>
              </w:rPr>
              <w:t>Parental Economic Gap</w:t>
            </w:r>
          </w:p>
        </w:tc>
        <w:tc>
          <w:tcPr>
            <w:tcW w:w="1637" w:type="dxa"/>
            <w:tcBorders/>
          </w:tcPr>
          <w:p>
            <w:pPr>
              <w:pStyle w:val="style0"/>
              <w:spacing w:lineRule="auto" w:line="360"/>
              <w:jc w:val="right"/>
              <w:rPr>
                <w:sz w:val="20"/>
              </w:rPr>
            </w:pPr>
            <w:r>
              <w:rPr>
                <w:sz w:val="20"/>
              </w:rPr>
              <w:t>29</w:t>
            </w:r>
          </w:p>
        </w:tc>
        <w:tc>
          <w:tcPr>
            <w:tcW w:w="1907" w:type="dxa"/>
            <w:tcBorders/>
          </w:tcPr>
          <w:p>
            <w:pPr>
              <w:pStyle w:val="style0"/>
              <w:spacing w:lineRule="auto" w:line="360"/>
              <w:jc w:val="right"/>
              <w:rPr>
                <w:sz w:val="20"/>
              </w:rPr>
            </w:pPr>
            <w:r>
              <w:rPr>
                <w:sz w:val="20"/>
              </w:rPr>
              <w:t>55,8</w:t>
            </w:r>
          </w:p>
        </w:tc>
      </w:tr>
      <w:tr>
        <w:tblPrEx/>
        <w:trPr>
          <w:jc w:val="center"/>
        </w:trPr>
        <w:tc>
          <w:tcPr>
            <w:tcW w:w="3118" w:type="dxa"/>
            <w:tcBorders/>
          </w:tcPr>
          <w:p>
            <w:pPr>
              <w:pStyle w:val="style0"/>
              <w:spacing w:lineRule="auto" w:line="360"/>
              <w:rPr>
                <w:b w:val="false"/>
                <w:bCs w:val="false"/>
                <w:sz w:val="20"/>
              </w:rPr>
            </w:pPr>
            <w:r>
              <w:rPr>
                <w:sz w:val="20"/>
              </w:rPr>
              <w:t>Geographical</w:t>
            </w:r>
          </w:p>
        </w:tc>
        <w:tc>
          <w:tcPr>
            <w:tcW w:w="1637" w:type="dxa"/>
            <w:tcBorders/>
          </w:tcPr>
          <w:p>
            <w:pPr>
              <w:pStyle w:val="style0"/>
              <w:spacing w:lineRule="auto" w:line="360"/>
              <w:jc w:val="right"/>
              <w:rPr>
                <w:sz w:val="20"/>
              </w:rPr>
            </w:pPr>
            <w:r>
              <w:rPr>
                <w:sz w:val="20"/>
              </w:rPr>
              <w:t>19</w:t>
            </w:r>
          </w:p>
        </w:tc>
        <w:tc>
          <w:tcPr>
            <w:tcW w:w="1907" w:type="dxa"/>
            <w:tcBorders/>
          </w:tcPr>
          <w:p>
            <w:pPr>
              <w:pStyle w:val="style0"/>
              <w:spacing w:lineRule="auto" w:line="360"/>
              <w:jc w:val="right"/>
              <w:rPr>
                <w:sz w:val="20"/>
              </w:rPr>
            </w:pPr>
            <w:r>
              <w:rPr>
                <w:sz w:val="20"/>
              </w:rPr>
              <w:t>36,5</w:t>
            </w:r>
          </w:p>
        </w:tc>
      </w:tr>
      <w:tr>
        <w:tblPrEx/>
        <w:trPr>
          <w:jc w:val="center"/>
        </w:trPr>
        <w:tc>
          <w:tcPr>
            <w:tcW w:w="3118" w:type="dxa"/>
            <w:tcBorders/>
          </w:tcPr>
          <w:p>
            <w:pPr>
              <w:pStyle w:val="style0"/>
              <w:spacing w:lineRule="auto" w:line="360"/>
              <w:rPr>
                <w:b w:val="false"/>
                <w:bCs w:val="false"/>
                <w:sz w:val="20"/>
              </w:rPr>
            </w:pPr>
            <w:r>
              <w:rPr>
                <w:sz w:val="20"/>
              </w:rPr>
              <w:t>Education gap</w:t>
            </w:r>
          </w:p>
        </w:tc>
        <w:tc>
          <w:tcPr>
            <w:tcW w:w="1637" w:type="dxa"/>
            <w:tcBorders/>
          </w:tcPr>
          <w:p>
            <w:pPr>
              <w:pStyle w:val="style0"/>
              <w:spacing w:lineRule="auto" w:line="360"/>
              <w:jc w:val="right"/>
              <w:rPr>
                <w:sz w:val="20"/>
              </w:rPr>
            </w:pPr>
            <w:r>
              <w:rPr>
                <w:sz w:val="20"/>
              </w:rPr>
              <w:t>4</w:t>
            </w:r>
          </w:p>
        </w:tc>
        <w:tc>
          <w:tcPr>
            <w:tcW w:w="1907" w:type="dxa"/>
            <w:tcBorders/>
          </w:tcPr>
          <w:p>
            <w:pPr>
              <w:pStyle w:val="style0"/>
              <w:spacing w:lineRule="auto" w:line="360"/>
              <w:jc w:val="right"/>
              <w:rPr>
                <w:sz w:val="20"/>
              </w:rPr>
            </w:pPr>
            <w:r>
              <w:rPr>
                <w:sz w:val="20"/>
              </w:rPr>
              <w:t>7,7</w:t>
            </w:r>
          </w:p>
        </w:tc>
      </w:tr>
      <w:tr>
        <w:tblPrEx/>
        <w:trPr>
          <w:jc w:val="center"/>
        </w:trPr>
        <w:tc>
          <w:tcPr>
            <w:tcW w:w="3118" w:type="dxa"/>
            <w:tcBorders/>
          </w:tcPr>
          <w:p>
            <w:pPr>
              <w:pStyle w:val="style0"/>
              <w:spacing w:lineRule="auto" w:line="360"/>
              <w:jc w:val="right"/>
              <w:rPr>
                <w:b w:val="false"/>
                <w:bCs w:val="false"/>
                <w:sz w:val="20"/>
              </w:rPr>
            </w:pPr>
            <w:r>
              <w:rPr>
                <w:b w:val="false"/>
                <w:bCs w:val="false"/>
                <w:sz w:val="20"/>
              </w:rPr>
              <w:t>TOTAL</w:t>
            </w:r>
          </w:p>
        </w:tc>
        <w:tc>
          <w:tcPr>
            <w:tcW w:w="1637" w:type="dxa"/>
            <w:tcBorders/>
          </w:tcPr>
          <w:p>
            <w:pPr>
              <w:pStyle w:val="style0"/>
              <w:spacing w:lineRule="auto" w:line="360"/>
              <w:jc w:val="right"/>
              <w:rPr>
                <w:sz w:val="20"/>
              </w:rPr>
            </w:pPr>
            <w:r>
              <w:rPr>
                <w:sz w:val="20"/>
              </w:rPr>
              <w:t>52</w:t>
            </w:r>
          </w:p>
        </w:tc>
        <w:tc>
          <w:tcPr>
            <w:tcW w:w="1907" w:type="dxa"/>
            <w:tcBorders/>
          </w:tcPr>
          <w:p>
            <w:pPr>
              <w:pStyle w:val="style0"/>
              <w:spacing w:lineRule="auto" w:line="360"/>
              <w:jc w:val="right"/>
              <w:rPr>
                <w:sz w:val="20"/>
              </w:rPr>
            </w:pPr>
            <w:r>
              <w:rPr>
                <w:sz w:val="20"/>
              </w:rPr>
              <w:t>100,0</w:t>
            </w:r>
          </w:p>
        </w:tc>
      </w:tr>
    </w:tbl>
    <w:p>
      <w:pPr>
        <w:pStyle w:val="style0"/>
        <w:spacing w:lineRule="auto" w:line="360"/>
        <w:ind w:firstLine="720"/>
        <w:jc w:val="center"/>
        <w:rPr>
          <w:sz w:val="24"/>
          <w:szCs w:val="24"/>
        </w:rPr>
      </w:pPr>
    </w:p>
    <w:bookmarkStart w:id="14" w:name="_Hlk92532354"/>
    <w:p>
      <w:pPr>
        <w:pStyle w:val="style0"/>
        <w:spacing w:lineRule="auto" w:line="360"/>
        <w:jc w:val="center"/>
        <w:rPr>
          <w:b/>
          <w:bCs/>
          <w:sz w:val="24"/>
          <w:szCs w:val="24"/>
          <w:lang w:val="ms-MY"/>
        </w:rPr>
      </w:pPr>
      <w:r>
        <w:rPr>
          <w:b/>
          <w:bCs/>
          <w:noProof/>
          <w:sz w:val="24"/>
          <w:szCs w:val="24"/>
          <w:lang w:val="id-ID" w:eastAsia="id-ID"/>
        </w:rPr>
      </w:r>
      <w:r>
        <w:rPr>
          <w:b/>
          <w:bCs/>
          <w:noProof/>
          <w:sz w:val="24"/>
          <w:szCs w:val="24"/>
          <w:lang w:val="id-ID" w:eastAsia="id-ID"/>
        </w:rPr>
      </w:r>
      <w:r>
        <w:rPr>
          <w:b/>
          <w:bCs/>
          <w:noProof/>
          <w:sz w:val="24"/>
          <w:szCs w:val="24"/>
          <w:lang w:val="id-ID" w:eastAsia="id-ID"/>
        </w:rPr>
      </w:r>
      <w:r>
        <w:rPr>
          <w:b/>
          <w:bCs/>
          <w:noProof/>
          <w:sz w:val="24"/>
          <w:szCs w:val="24"/>
          <w:lang w:val="id-ID" w:eastAsia="id-ID"/>
        </w:rPr>
        <w:drawing>
          <wp:inline distL="114300" distT="0" distB="0" distR="114300">
            <wp:extent cx="4261899" cy="219456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
          <w:bCs/>
          <w:noProof/>
          <w:sz w:val="24"/>
          <w:szCs w:val="24"/>
          <w:lang w:val="id-ID" w:eastAsia="id-ID"/>
        </w:rPr>
      </w:r>
    </w:p>
    <w:p>
      <w:pPr>
        <w:pStyle w:val="style0"/>
        <w:spacing w:lineRule="auto" w:line="360"/>
        <w:jc w:val="both"/>
        <w:rPr>
          <w:b/>
          <w:bCs/>
          <w:sz w:val="24"/>
          <w:szCs w:val="24"/>
          <w:lang w:val="ms-MY"/>
        </w:rPr>
      </w:pPr>
      <w:r>
        <w:rPr>
          <w:b/>
          <w:bCs/>
          <w:sz w:val="24"/>
          <w:szCs w:val="24"/>
          <w:lang w:val="ms-MY"/>
        </w:rPr>
        <w:t xml:space="preserve">4.3. </w:t>
      </w:r>
      <w:r>
        <w:rPr>
          <w:b/>
          <w:bCs/>
          <w:sz w:val="24"/>
          <w:szCs w:val="24"/>
          <w:lang w:val="ms-MY"/>
        </w:rPr>
        <w:t xml:space="preserve">Implications of Class Inequality in Online Education </w:t>
      </w:r>
    </w:p>
    <w:p>
      <w:pPr>
        <w:pStyle w:val="style0"/>
        <w:spacing w:lineRule="auto" w:line="360"/>
        <w:jc w:val="both"/>
        <w:rPr>
          <w:b/>
          <w:bCs/>
          <w:sz w:val="24"/>
          <w:szCs w:val="24"/>
          <w:lang w:val="ms-MY"/>
        </w:rPr>
      </w:pPr>
      <w:r>
        <w:rPr>
          <w:b/>
          <w:bCs/>
          <w:sz w:val="24"/>
          <w:szCs w:val="24"/>
          <w:lang w:val="ms-MY"/>
        </w:rPr>
        <w:t xml:space="preserve">(a) </w:t>
      </w:r>
      <w:r>
        <w:rPr>
          <w:b/>
          <w:bCs/>
          <w:sz w:val="24"/>
          <w:szCs w:val="24"/>
          <w:lang w:val="ms-MY"/>
        </w:rPr>
        <w:t>Impact of Learning Experiences in Online Education</w:t>
      </w:r>
    </w:p>
    <w:p>
      <w:pPr>
        <w:pStyle w:val="style0"/>
        <w:spacing w:lineRule="auto" w:line="360"/>
        <w:ind w:firstLine="720"/>
        <w:jc w:val="both"/>
        <w:rPr>
          <w:color w:val="333333"/>
          <w:sz w:val="24"/>
          <w:szCs w:val="24"/>
          <w:shd w:val="clear" w:color="auto" w:fill="ffffff"/>
        </w:rPr>
      </w:pPr>
      <w:r>
        <w:rPr>
          <w:color w:val="333333"/>
          <w:sz w:val="24"/>
          <w:szCs w:val="24"/>
          <w:shd w:val="clear" w:color="auto" w:fill="ffffff"/>
        </w:rPr>
        <w:t xml:space="preserve">Online learning does not necessarily make us aware of the extraordinary potential of the internet that has not been fully utilized in various fields, including education. </w:t>
      </w:r>
      <w:r>
        <w:rPr>
          <w:color w:val="333333"/>
          <w:sz w:val="24"/>
          <w:szCs w:val="24"/>
          <w:shd w:val="clear" w:color="auto" w:fill="ffffff"/>
        </w:rPr>
        <w:t>Evy</w:t>
      </w:r>
      <w:r>
        <w:rPr>
          <w:color w:val="333333"/>
          <w:sz w:val="24"/>
          <w:szCs w:val="24"/>
          <w:shd w:val="clear" w:color="auto" w:fill="ffffff"/>
        </w:rPr>
        <w:t xml:space="preserve">, a lecturer at </w:t>
      </w:r>
      <w:r>
        <w:rPr>
          <w:color w:val="333333"/>
          <w:sz w:val="24"/>
          <w:szCs w:val="24"/>
          <w:shd w:val="clear" w:color="auto" w:fill="ffffff"/>
        </w:rPr>
        <w:t>Panca</w:t>
      </w:r>
      <w:r>
        <w:rPr>
          <w:color w:val="333333"/>
          <w:sz w:val="24"/>
          <w:szCs w:val="24"/>
          <w:shd w:val="clear" w:color="auto" w:fill="ffffff"/>
        </w:rPr>
        <w:t xml:space="preserve"> </w:t>
      </w:r>
      <w:r>
        <w:rPr>
          <w:color w:val="333333"/>
          <w:sz w:val="24"/>
          <w:szCs w:val="24"/>
          <w:shd w:val="clear" w:color="auto" w:fill="ffffff"/>
        </w:rPr>
        <w:t>Marga</w:t>
      </w:r>
      <w:r>
        <w:rPr>
          <w:color w:val="333333"/>
          <w:sz w:val="24"/>
          <w:szCs w:val="24"/>
          <w:shd w:val="clear" w:color="auto" w:fill="ffffff"/>
        </w:rPr>
        <w:t xml:space="preserve"> University, </w:t>
      </w:r>
      <w:r>
        <w:rPr>
          <w:color w:val="333333"/>
          <w:sz w:val="24"/>
          <w:szCs w:val="24"/>
          <w:shd w:val="clear" w:color="auto" w:fill="ffffff"/>
        </w:rPr>
        <w:t>Probolinggo</w:t>
      </w:r>
      <w:r>
        <w:rPr>
          <w:color w:val="333333"/>
          <w:sz w:val="24"/>
          <w:szCs w:val="24"/>
          <w:shd w:val="clear" w:color="auto" w:fill="ffffff"/>
        </w:rPr>
        <w:t xml:space="preserve">, expressed her anxiety over the impact of learning experiences in online education: Online learning does not necessarily make us aware of the extraordinary potential of the internet that has not been fully utilized in various fields, including education. </w:t>
      </w:r>
      <w:r>
        <w:rPr>
          <w:color w:val="333333"/>
          <w:sz w:val="24"/>
          <w:szCs w:val="24"/>
          <w:shd w:val="clear" w:color="auto" w:fill="ffffff"/>
        </w:rPr>
        <w:t>Evy</w:t>
      </w:r>
      <w:r>
        <w:rPr>
          <w:color w:val="333333"/>
          <w:sz w:val="24"/>
          <w:szCs w:val="24"/>
          <w:shd w:val="clear" w:color="auto" w:fill="ffffff"/>
        </w:rPr>
        <w:t xml:space="preserve">, a lecturer at </w:t>
      </w:r>
      <w:r>
        <w:rPr>
          <w:color w:val="333333"/>
          <w:sz w:val="24"/>
          <w:szCs w:val="24"/>
          <w:shd w:val="clear" w:color="auto" w:fill="ffffff"/>
        </w:rPr>
        <w:t>Panca</w:t>
      </w:r>
      <w:r>
        <w:rPr>
          <w:color w:val="333333"/>
          <w:sz w:val="24"/>
          <w:szCs w:val="24"/>
          <w:shd w:val="clear" w:color="auto" w:fill="ffffff"/>
        </w:rPr>
        <w:t xml:space="preserve"> </w:t>
      </w:r>
      <w:r>
        <w:rPr>
          <w:color w:val="333333"/>
          <w:sz w:val="24"/>
          <w:szCs w:val="24"/>
          <w:shd w:val="clear" w:color="auto" w:fill="ffffff"/>
        </w:rPr>
        <w:t>Marga</w:t>
      </w:r>
      <w:r>
        <w:rPr>
          <w:color w:val="333333"/>
          <w:sz w:val="24"/>
          <w:szCs w:val="24"/>
          <w:shd w:val="clear" w:color="auto" w:fill="ffffff"/>
        </w:rPr>
        <w:t xml:space="preserve"> University, </w:t>
      </w:r>
      <w:r>
        <w:rPr>
          <w:color w:val="333333"/>
          <w:sz w:val="24"/>
          <w:szCs w:val="24"/>
          <w:shd w:val="clear" w:color="auto" w:fill="ffffff"/>
        </w:rPr>
        <w:t>Probolinggo</w:t>
      </w:r>
      <w:r>
        <w:rPr>
          <w:color w:val="333333"/>
          <w:sz w:val="24"/>
          <w:szCs w:val="24"/>
          <w:shd w:val="clear" w:color="auto" w:fill="ffffff"/>
        </w:rPr>
        <w:t>, expressed her anxiety over the impact of learning experiences in online education as follows:</w:t>
      </w:r>
    </w:p>
    <w:p>
      <w:pPr>
        <w:pStyle w:val="style0"/>
        <w:spacing w:lineRule="auto" w:line="360"/>
        <w:ind w:firstLine="720"/>
        <w:jc w:val="both"/>
        <w:rPr>
          <w:color w:val="333333"/>
          <w:sz w:val="24"/>
          <w:szCs w:val="24"/>
          <w:shd w:val="clear" w:color="auto" w:fill="ffffff"/>
        </w:rPr>
      </w:pPr>
    </w:p>
    <w:p>
      <w:pPr>
        <w:pStyle w:val="style0"/>
        <w:spacing w:lineRule="auto" w:line="240"/>
        <w:ind w:left="720"/>
        <w:jc w:val="both"/>
        <w:rPr>
          <w:i/>
          <w:iCs/>
          <w:sz w:val="24"/>
          <w:szCs w:val="24"/>
        </w:rPr>
      </w:pPr>
      <w:r>
        <w:rPr>
          <w:i/>
          <w:iCs/>
          <w:sz w:val="24"/>
          <w:szCs w:val="24"/>
        </w:rPr>
        <w:t xml:space="preserve">“The learning experience from online learning for students who experience inequality will certainly not be optimal. Online learning for some people often causes miscommunication and misconceptions. They are affected by some of the existing </w:t>
      </w:r>
      <w:r>
        <w:rPr>
          <w:i/>
          <w:iCs/>
          <w:sz w:val="24"/>
          <w:szCs w:val="24"/>
        </w:rPr>
        <w:t>dispar</w:t>
      </w:r>
      <w:r>
        <w:rPr>
          <w:i/>
          <w:iCs/>
          <w:sz w:val="24"/>
          <w:szCs w:val="24"/>
        </w:rPr>
        <w:t>ities. They can follow the online learning well because they are in a place that is supported by a good signal / full. But, sometimes</w:t>
      </w:r>
      <w:r>
        <w:rPr>
          <w:i/>
          <w:iCs/>
          <w:sz w:val="24"/>
          <w:szCs w:val="24"/>
        </w:rPr>
        <w:t>,</w:t>
      </w:r>
      <w:r>
        <w:rPr>
          <w:i/>
          <w:iCs/>
          <w:sz w:val="24"/>
          <w:szCs w:val="24"/>
        </w:rPr>
        <w:t xml:space="preserve"> they also get into trouble on other days. Because online learning depends on several factors; signal, </w:t>
      </w:r>
      <w:r>
        <w:rPr>
          <w:i/>
          <w:iCs/>
          <w:sz w:val="24"/>
          <w:szCs w:val="24"/>
        </w:rPr>
        <w:t>cellphone</w:t>
      </w:r>
      <w:r>
        <w:rPr>
          <w:i/>
          <w:iCs/>
          <w:sz w:val="24"/>
          <w:szCs w:val="24"/>
        </w:rPr>
        <w:t xml:space="preserve"> specifications, electricity, and others</w:t>
      </w:r>
      <w:r>
        <w:rPr>
          <w:i/>
          <w:iCs/>
          <w:sz w:val="24"/>
          <w:szCs w:val="24"/>
        </w:rPr>
        <w:t>, i</w:t>
      </w:r>
      <w:r>
        <w:rPr>
          <w:i/>
          <w:iCs/>
          <w:sz w:val="24"/>
          <w:szCs w:val="24"/>
        </w:rPr>
        <w:t xml:space="preserve">n other words, the result of student learning experiences is that there is an imbalance between high-capacity students and low-capacity students. </w:t>
      </w:r>
    </w:p>
    <w:p>
      <w:pPr>
        <w:pStyle w:val="style0"/>
        <w:spacing w:lineRule="auto" w:line="240"/>
        <w:ind w:left="720"/>
        <w:jc w:val="both"/>
        <w:rPr>
          <w:i/>
          <w:iCs/>
          <w:sz w:val="24"/>
          <w:szCs w:val="24"/>
        </w:rPr>
      </w:pPr>
    </w:p>
    <w:p>
      <w:pPr>
        <w:pStyle w:val="style0"/>
        <w:spacing w:lineRule="auto" w:line="240"/>
        <w:ind w:left="720"/>
        <w:jc w:val="both"/>
        <w:rPr>
          <w:i/>
          <w:iCs/>
          <w:sz w:val="24"/>
          <w:szCs w:val="24"/>
          <w:lang w:val="id-ID"/>
        </w:rPr>
      </w:pPr>
    </w:p>
    <w:p>
      <w:pPr>
        <w:pStyle w:val="style0"/>
        <w:spacing w:lineRule="auto" w:line="360"/>
        <w:jc w:val="both"/>
        <w:rPr>
          <w:sz w:val="24"/>
          <w:szCs w:val="24"/>
        </w:rPr>
      </w:pPr>
      <w:r>
        <w:rPr>
          <w:sz w:val="24"/>
          <w:szCs w:val="24"/>
        </w:rPr>
        <w:t>Evy's</w:t>
      </w:r>
      <w:r>
        <w:rPr>
          <w:sz w:val="24"/>
          <w:szCs w:val="24"/>
        </w:rPr>
        <w:t xml:space="preserve"> views represent the views of lecturers in general. </w:t>
      </w:r>
      <w:r>
        <w:rPr>
          <w:sz w:val="24"/>
          <w:szCs w:val="24"/>
        </w:rPr>
        <w:t>Khasanah</w:t>
      </w:r>
      <w:r>
        <w:rPr>
          <w:sz w:val="24"/>
          <w:szCs w:val="24"/>
        </w:rPr>
        <w:t xml:space="preserve"> (Informant 8, 31 years old)</w:t>
      </w:r>
      <w:r>
        <w:rPr>
          <w:sz w:val="24"/>
          <w:szCs w:val="24"/>
        </w:rPr>
        <w:t>,</w:t>
      </w:r>
      <w:r>
        <w:rPr>
          <w:sz w:val="24"/>
          <w:szCs w:val="24"/>
        </w:rPr>
        <w:t xml:space="preserve"> a lecturer at a high school</w:t>
      </w:r>
      <w:r>
        <w:rPr>
          <w:sz w:val="24"/>
          <w:szCs w:val="24"/>
        </w:rPr>
        <w:t xml:space="preserve"> of </w:t>
      </w:r>
      <w:r>
        <w:rPr>
          <w:sz w:val="24"/>
          <w:szCs w:val="24"/>
        </w:rPr>
        <w:t xml:space="preserve">Al </w:t>
      </w:r>
      <w:r>
        <w:rPr>
          <w:sz w:val="24"/>
          <w:szCs w:val="24"/>
        </w:rPr>
        <w:t>Muslihuun</w:t>
      </w:r>
      <w:r>
        <w:rPr>
          <w:sz w:val="24"/>
          <w:szCs w:val="24"/>
        </w:rPr>
        <w:t xml:space="preserve"> </w:t>
      </w:r>
      <w:r>
        <w:rPr>
          <w:sz w:val="24"/>
          <w:szCs w:val="24"/>
        </w:rPr>
        <w:t>Tarbiah</w:t>
      </w:r>
      <w:r>
        <w:rPr>
          <w:sz w:val="24"/>
          <w:szCs w:val="24"/>
        </w:rPr>
        <w:t xml:space="preserve"> Science</w:t>
      </w:r>
      <w:r>
        <w:rPr>
          <w:sz w:val="24"/>
          <w:szCs w:val="24"/>
        </w:rPr>
        <w:t xml:space="preserve"> </w:t>
      </w:r>
      <w:r>
        <w:rPr>
          <w:sz w:val="24"/>
          <w:szCs w:val="24"/>
        </w:rPr>
        <w:t>Blitar</w:t>
      </w:r>
      <w:r>
        <w:rPr>
          <w:sz w:val="24"/>
          <w:szCs w:val="24"/>
        </w:rPr>
        <w:t>,</w:t>
      </w:r>
      <w:r>
        <w:rPr>
          <w:sz w:val="24"/>
          <w:szCs w:val="24"/>
        </w:rPr>
        <w:t xml:space="preserve"> reinforces this by saying: "Learning is very limited and not optimal because learning is only through </w:t>
      </w:r>
      <w:r>
        <w:rPr>
          <w:sz w:val="24"/>
          <w:szCs w:val="24"/>
        </w:rPr>
        <w:t xml:space="preserve">online, learning is not face-to-face as usual before </w:t>
      </w:r>
      <w:r>
        <w:rPr>
          <w:sz w:val="24"/>
          <w:szCs w:val="24"/>
        </w:rPr>
        <w:t>Covid</w:t>
      </w:r>
      <w:r>
        <w:rPr>
          <w:sz w:val="24"/>
          <w:szCs w:val="24"/>
        </w:rPr>
        <w:t xml:space="preserve"> 19. So, there has been a decline in interest in learning, decreased motivation to study</w:t>
      </w:r>
      <w:r>
        <w:rPr>
          <w:sz w:val="24"/>
          <w:szCs w:val="24"/>
        </w:rPr>
        <w:t>,</w:t>
      </w:r>
      <w:r>
        <w:rPr>
          <w:sz w:val="24"/>
          <w:szCs w:val="24"/>
        </w:rPr>
        <w:t xml:space="preserve"> and learning is monotonous and not attractive". There are differences in major universities, at the State Islamic University of Malang</w:t>
      </w:r>
      <w:r>
        <w:rPr>
          <w:sz w:val="24"/>
          <w:szCs w:val="24"/>
        </w:rPr>
        <w:t>,</w:t>
      </w:r>
      <w:r>
        <w:rPr>
          <w:sz w:val="24"/>
          <w:szCs w:val="24"/>
        </w:rPr>
        <w:t xml:space="preserve"> which </w:t>
      </w:r>
      <w:r>
        <w:rPr>
          <w:sz w:val="24"/>
          <w:szCs w:val="24"/>
        </w:rPr>
        <w:t>Mr.</w:t>
      </w:r>
      <w:r>
        <w:rPr>
          <w:sz w:val="24"/>
          <w:szCs w:val="24"/>
        </w:rPr>
        <w:t xml:space="preserve"> </w:t>
      </w:r>
      <w:r>
        <w:rPr>
          <w:sz w:val="24"/>
          <w:szCs w:val="24"/>
        </w:rPr>
        <w:t>Angga</w:t>
      </w:r>
      <w:r>
        <w:rPr>
          <w:sz w:val="24"/>
          <w:szCs w:val="24"/>
        </w:rPr>
        <w:t xml:space="preserve"> stated</w:t>
      </w:r>
      <w:r>
        <w:rPr>
          <w:sz w:val="24"/>
          <w:szCs w:val="24"/>
        </w:rPr>
        <w:t xml:space="preserve"> (4, 36 years old informant) that:</w:t>
      </w:r>
    </w:p>
    <w:p>
      <w:pPr>
        <w:pStyle w:val="style0"/>
        <w:spacing w:lineRule="auto" w:line="240"/>
        <w:ind w:left="720"/>
        <w:jc w:val="both"/>
        <w:rPr>
          <w:bCs/>
          <w:i/>
          <w:iCs/>
          <w:sz w:val="24"/>
          <w:szCs w:val="24"/>
          <w:lang w:val="ms-MY"/>
        </w:rPr>
      </w:pPr>
      <w:r>
        <w:rPr>
          <w:bCs/>
          <w:i/>
          <w:iCs/>
          <w:sz w:val="24"/>
          <w:szCs w:val="24"/>
          <w:lang w:val="ms-MY"/>
        </w:rPr>
        <w:t>“What my students feel now, they are more excited or interested in social media and online media. There are many secret tricks in searching scientific literature and utilizing this media-based technology. They are helped in doing lecture assignments and in other activities. The learning experience that I emphasize is the ability to seek literacy, be patient in looking for something on the internet</w:t>
      </w:r>
      <w:r>
        <w:rPr>
          <w:bCs/>
          <w:i/>
          <w:iCs/>
          <w:sz w:val="24"/>
          <w:szCs w:val="24"/>
          <w:lang w:val="ms-MY"/>
        </w:rPr>
        <w:t>, and</w:t>
      </w:r>
      <w:r>
        <w:rPr>
          <w:bCs/>
          <w:i/>
          <w:iCs/>
          <w:sz w:val="24"/>
          <w:szCs w:val="24"/>
          <w:lang w:val="ms-MY"/>
        </w:rPr>
        <w:t xml:space="preserve"> be more active in utilizing technology that makes their lives easier. I instilled information</w:t>
      </w:r>
      <w:r>
        <w:rPr>
          <w:bCs/>
          <w:i/>
          <w:iCs/>
          <w:sz w:val="24"/>
          <w:szCs w:val="24"/>
          <w:lang w:val="ms-MY"/>
        </w:rPr>
        <w:t>-</w:t>
      </w:r>
      <w:r>
        <w:rPr>
          <w:bCs/>
          <w:i/>
          <w:iCs/>
          <w:sz w:val="24"/>
          <w:szCs w:val="24"/>
          <w:lang w:val="ms-MY"/>
        </w:rPr>
        <w:t>seeking skills</w:t>
      </w:r>
      <w:r>
        <w:rPr>
          <w:bCs/>
          <w:i/>
          <w:iCs/>
          <w:sz w:val="24"/>
          <w:szCs w:val="24"/>
          <w:lang w:val="ms-MY"/>
        </w:rPr>
        <w:t xml:space="preserve"> and a critical character in judging every online upload or pos</w:t>
      </w:r>
      <w:r>
        <w:rPr>
          <w:bCs/>
          <w:i/>
          <w:iCs/>
          <w:sz w:val="24"/>
          <w:szCs w:val="24"/>
          <w:lang w:val="ms-MY"/>
        </w:rPr>
        <w:t xml:space="preserve">t. Thus, they </w:t>
      </w:r>
      <w:r>
        <w:rPr>
          <w:bCs/>
          <w:i/>
          <w:iCs/>
          <w:sz w:val="24"/>
          <w:szCs w:val="24"/>
          <w:lang w:val="ms-MY"/>
        </w:rPr>
        <w:t>can</w:t>
      </w:r>
      <w:r>
        <w:rPr>
          <w:bCs/>
          <w:i/>
          <w:iCs/>
          <w:sz w:val="24"/>
          <w:szCs w:val="24"/>
          <w:lang w:val="ms-MY"/>
        </w:rPr>
        <w:t xml:space="preserve"> think critically, be wise in developing information, and make it more meaningful for all.” </w:t>
      </w:r>
    </w:p>
    <w:p>
      <w:pPr>
        <w:pStyle w:val="style0"/>
        <w:spacing w:lineRule="auto" w:line="240"/>
        <w:jc w:val="both"/>
        <w:rPr>
          <w:sz w:val="24"/>
          <w:szCs w:val="24"/>
          <w:lang w:val="ms-MY"/>
        </w:rPr>
      </w:pPr>
    </w:p>
    <w:p>
      <w:pPr>
        <w:pStyle w:val="style0"/>
        <w:spacing w:lineRule="auto" w:line="360"/>
        <w:ind w:firstLine="720"/>
        <w:jc w:val="both"/>
        <w:rPr>
          <w:sz w:val="24"/>
          <w:szCs w:val="24"/>
          <w:lang w:val="ms-MY"/>
        </w:rPr>
      </w:pPr>
      <w:r>
        <w:rPr>
          <w:sz w:val="24"/>
          <w:szCs w:val="24"/>
          <w:lang w:val="ms-MY"/>
        </w:rPr>
        <w:t xml:space="preserve">The three opinions above are supported by an explanation from a student at the Islamic University of Malang named Galuh (Informant 8, 18 years old) as follows: "As a student, I feel, although online is </w:t>
      </w:r>
      <w:r>
        <w:rPr>
          <w:sz w:val="24"/>
          <w:szCs w:val="24"/>
          <w:lang w:val="ms-MY"/>
        </w:rPr>
        <w:t>freer</w:t>
      </w:r>
      <w:r>
        <w:rPr>
          <w:sz w:val="24"/>
          <w:szCs w:val="24"/>
          <w:lang w:val="ms-MY"/>
        </w:rPr>
        <w:t xml:space="preserve"> in creativity, the experience of learning with friends, colleagues, seniors, lecturers, and others minimal. We cannot discuss and exchange knowledge freely, unlike before the pandemic.”</w:t>
      </w:r>
    </w:p>
    <w:p>
      <w:pPr>
        <w:pStyle w:val="style0"/>
        <w:spacing w:lineRule="auto" w:line="360"/>
        <w:jc w:val="both"/>
        <w:rPr>
          <w:sz w:val="24"/>
          <w:szCs w:val="24"/>
        </w:rPr>
      </w:pPr>
    </w:p>
    <w:p>
      <w:pPr>
        <w:pStyle w:val="style0"/>
        <w:spacing w:lineRule="auto" w:line="360"/>
        <w:jc w:val="both"/>
        <w:rPr>
          <w:b/>
          <w:bCs/>
          <w:sz w:val="24"/>
          <w:szCs w:val="24"/>
          <w:lang w:val="ms-MY"/>
        </w:rPr>
      </w:pPr>
      <w:r>
        <w:rPr>
          <w:b/>
          <w:bCs/>
          <w:sz w:val="24"/>
          <w:szCs w:val="24"/>
          <w:lang w:val="ms-MY"/>
        </w:rPr>
        <w:t xml:space="preserve">(b) </w:t>
      </w:r>
      <w:r>
        <w:rPr>
          <w:b/>
          <w:bCs/>
          <w:sz w:val="24"/>
          <w:szCs w:val="24"/>
          <w:lang w:val="ms-MY"/>
        </w:rPr>
        <w:t>Impact of Learning Outcomes in Online Education</w:t>
      </w:r>
    </w:p>
    <w:p>
      <w:pPr>
        <w:pStyle w:val="style0"/>
        <w:spacing w:lineRule="auto" w:line="360"/>
        <w:ind w:firstLine="720"/>
        <w:jc w:val="both"/>
        <w:rPr>
          <w:sz w:val="24"/>
          <w:szCs w:val="24"/>
        </w:rPr>
      </w:pPr>
      <w:r>
        <w:rPr>
          <w:sz w:val="24"/>
          <w:szCs w:val="24"/>
        </w:rPr>
        <w:t>The implementation of online learning during the pandemic has resulted in a shift in the roles of lecturers and parents or people who accompany students during online learning. Dian, a student at the Islamic University of Malang, expressed her anxiety over the impact of learning outcomes in online education: “If the learning process is not optimal, i</w:t>
      </w:r>
      <w:r>
        <w:rPr>
          <w:sz w:val="24"/>
          <w:szCs w:val="24"/>
        </w:rPr>
        <w:t>nevitably,</w:t>
      </w:r>
      <w:r>
        <w:rPr>
          <w:sz w:val="24"/>
          <w:szCs w:val="24"/>
        </w:rPr>
        <w:t xml:space="preserve"> the learning outcomes will also be the same. According to my experience during online learning, many of my fellow students experienced a decrease in the value of their learning outcomes compared to previous years before the COVID-19 pandemic.</w:t>
      </w:r>
    </w:p>
    <w:p>
      <w:pPr>
        <w:pStyle w:val="style0"/>
        <w:spacing w:lineRule="auto" w:line="360"/>
        <w:ind w:firstLine="720"/>
        <w:jc w:val="both"/>
        <w:rPr>
          <w:sz w:val="24"/>
          <w:szCs w:val="24"/>
        </w:rPr>
      </w:pPr>
      <w:r>
        <w:rPr>
          <w:sz w:val="24"/>
          <w:szCs w:val="24"/>
        </w:rPr>
        <w:t xml:space="preserve">Dian's views represent the views of students in general. </w:t>
      </w:r>
      <w:r>
        <w:rPr>
          <w:sz w:val="24"/>
          <w:szCs w:val="24"/>
        </w:rPr>
        <w:t>Indra</w:t>
      </w:r>
      <w:r>
        <w:rPr>
          <w:sz w:val="24"/>
          <w:szCs w:val="24"/>
        </w:rPr>
        <w:t xml:space="preserve"> (Informant 5, 18 years)</w:t>
      </w:r>
      <w:r>
        <w:rPr>
          <w:sz w:val="24"/>
          <w:szCs w:val="24"/>
        </w:rPr>
        <w:t>,</w:t>
      </w:r>
      <w:r>
        <w:rPr>
          <w:sz w:val="24"/>
          <w:szCs w:val="24"/>
        </w:rPr>
        <w:t xml:space="preserve"> </w:t>
      </w:r>
      <w:r>
        <w:rPr>
          <w:sz w:val="24"/>
          <w:szCs w:val="24"/>
        </w:rPr>
        <w:t xml:space="preserve">a </w:t>
      </w:r>
      <w:r>
        <w:rPr>
          <w:sz w:val="24"/>
          <w:szCs w:val="24"/>
        </w:rPr>
        <w:t xml:space="preserve">student of the State Islamic University of </w:t>
      </w:r>
      <w:r>
        <w:rPr>
          <w:sz w:val="24"/>
          <w:szCs w:val="24"/>
        </w:rPr>
        <w:t>Satu</w:t>
      </w:r>
      <w:r>
        <w:rPr>
          <w:sz w:val="24"/>
          <w:szCs w:val="24"/>
        </w:rPr>
        <w:t xml:space="preserve"> </w:t>
      </w:r>
      <w:r>
        <w:rPr>
          <w:sz w:val="24"/>
          <w:szCs w:val="24"/>
        </w:rPr>
        <w:t>Tulungagung</w:t>
      </w:r>
      <w:r>
        <w:rPr>
          <w:sz w:val="24"/>
          <w:szCs w:val="24"/>
        </w:rPr>
        <w:t>,</w:t>
      </w:r>
      <w:r>
        <w:rPr>
          <w:sz w:val="24"/>
          <w:szCs w:val="24"/>
        </w:rPr>
        <w:t xml:space="preserve"> corroborated this by saying</w:t>
      </w:r>
      <w:r>
        <w:rPr>
          <w:sz w:val="24"/>
          <w:szCs w:val="24"/>
        </w:rPr>
        <w:t>, "</w:t>
      </w:r>
      <w:r>
        <w:rPr>
          <w:sz w:val="24"/>
          <w:szCs w:val="24"/>
        </w:rPr>
        <w:t xml:space="preserve">I don't think the results are much different from before for those who are not constrained by the internet, the results are still good. However, </w:t>
      </w:r>
      <w:r>
        <w:rPr>
          <w:sz w:val="24"/>
          <w:szCs w:val="24"/>
        </w:rPr>
        <w:t>it becomes a big problem for those who are constrained by the internet network</w:t>
      </w:r>
      <w:r>
        <w:rPr>
          <w:sz w:val="24"/>
          <w:szCs w:val="24"/>
        </w:rPr>
        <w:t xml:space="preserve">. Because they don't take part in the lecture process, they don't take attendance, </w:t>
      </w:r>
      <w:r>
        <w:rPr>
          <w:sz w:val="24"/>
          <w:szCs w:val="24"/>
        </w:rPr>
        <w:t>which</w:t>
      </w:r>
      <w:r>
        <w:rPr>
          <w:sz w:val="24"/>
          <w:szCs w:val="24"/>
        </w:rPr>
        <w:t xml:space="preserve"> is very influential for the lecturer's assessment.”</w:t>
      </w:r>
    </w:p>
    <w:p>
      <w:pPr>
        <w:pStyle w:val="style0"/>
        <w:spacing w:lineRule="auto" w:line="360"/>
        <w:ind w:firstLine="720"/>
        <w:jc w:val="both"/>
        <w:rPr>
          <w:sz w:val="24"/>
          <w:szCs w:val="24"/>
        </w:rPr>
      </w:pPr>
      <w:r>
        <w:rPr>
          <w:sz w:val="24"/>
          <w:szCs w:val="24"/>
        </w:rPr>
        <w:t xml:space="preserve">These two opinions are supported by the statement of </w:t>
      </w:r>
      <w:r>
        <w:rPr>
          <w:sz w:val="24"/>
          <w:szCs w:val="24"/>
        </w:rPr>
        <w:t>Siti</w:t>
      </w:r>
      <w:r>
        <w:rPr>
          <w:sz w:val="24"/>
          <w:szCs w:val="24"/>
        </w:rPr>
        <w:t xml:space="preserve"> (informant 8, 18 </w:t>
      </w:r>
      <w:r>
        <w:rPr>
          <w:sz w:val="24"/>
          <w:szCs w:val="24"/>
        </w:rPr>
        <w:t>years)</w:t>
      </w:r>
      <w:r>
        <w:rPr>
          <w:sz w:val="24"/>
          <w:szCs w:val="24"/>
        </w:rPr>
        <w:t>,</w:t>
      </w:r>
      <w:r>
        <w:rPr>
          <w:sz w:val="24"/>
          <w:szCs w:val="24"/>
        </w:rPr>
        <w:t xml:space="preserve"> a student of the </w:t>
      </w:r>
      <w:r>
        <w:rPr>
          <w:sz w:val="24"/>
          <w:szCs w:val="24"/>
        </w:rPr>
        <w:t>Almuslihuun</w:t>
      </w:r>
      <w:r>
        <w:rPr>
          <w:sz w:val="24"/>
          <w:szCs w:val="24"/>
        </w:rPr>
        <w:t xml:space="preserve"> </w:t>
      </w:r>
      <w:r>
        <w:rPr>
          <w:sz w:val="24"/>
          <w:szCs w:val="24"/>
        </w:rPr>
        <w:t>Blitar</w:t>
      </w:r>
      <w:r>
        <w:rPr>
          <w:sz w:val="24"/>
          <w:szCs w:val="24"/>
        </w:rPr>
        <w:t xml:space="preserve"> Engineering College that:</w:t>
      </w:r>
    </w:p>
    <w:p>
      <w:pPr>
        <w:pStyle w:val="style0"/>
        <w:spacing w:lineRule="auto" w:line="240"/>
        <w:ind w:left="720"/>
        <w:jc w:val="both"/>
        <w:rPr>
          <w:i/>
          <w:iCs/>
          <w:sz w:val="24"/>
          <w:szCs w:val="24"/>
          <w:lang w:val="ms-MY"/>
        </w:rPr>
      </w:pPr>
      <w:r>
        <w:rPr>
          <w:i/>
          <w:iCs/>
          <w:sz w:val="24"/>
          <w:szCs w:val="24"/>
          <w:lang w:val="ms-MY"/>
        </w:rPr>
        <w:t>“The impact of this inequality causes learning outcomes (academic achievements) to be different</w:t>
      </w:r>
      <w:r>
        <w:rPr>
          <w:i/>
          <w:iCs/>
          <w:sz w:val="24"/>
          <w:szCs w:val="24"/>
          <w:lang w:val="ms-MY"/>
        </w:rPr>
        <w:t>. Learning outcomes are low or decreased for those with small capacity tools and signal disturbances</w:t>
      </w:r>
      <w:r>
        <w:rPr>
          <w:i/>
          <w:iCs/>
          <w:sz w:val="24"/>
          <w:szCs w:val="24"/>
          <w:lang w:val="ms-MY"/>
        </w:rPr>
        <w:t>. In addition, the lack of supervision of parents who are busy outside the home</w:t>
      </w:r>
      <w:r>
        <w:rPr>
          <w:i/>
          <w:iCs/>
          <w:sz w:val="24"/>
          <w:szCs w:val="24"/>
          <w:lang w:val="ms-MY"/>
        </w:rPr>
        <w:t xml:space="preserve"> and lack of patience and patience</w:t>
      </w:r>
      <w:r>
        <w:rPr>
          <w:i/>
          <w:iCs/>
          <w:sz w:val="24"/>
          <w:szCs w:val="24"/>
          <w:lang w:val="ms-MY"/>
        </w:rPr>
        <w:t xml:space="preserve"> in accompanying their children through every process stage that must be passed in the learning process because parents do not understand the importance of education. Lack of attendance in the online learning process, lack of interest</w:t>
      </w:r>
      <w:r>
        <w:rPr>
          <w:i/>
          <w:iCs/>
          <w:sz w:val="24"/>
          <w:szCs w:val="24"/>
          <w:lang w:val="ms-MY"/>
        </w:rPr>
        <w:t>,</w:t>
      </w:r>
      <w:r>
        <w:rPr>
          <w:i/>
          <w:iCs/>
          <w:sz w:val="24"/>
          <w:szCs w:val="24"/>
          <w:lang w:val="ms-MY"/>
        </w:rPr>
        <w:t xml:space="preserve"> and doubt with online learning</w:t>
      </w:r>
      <w:r>
        <w:rPr>
          <w:i/>
          <w:iCs/>
          <w:sz w:val="24"/>
          <w:szCs w:val="24"/>
          <w:lang w:val="ms-MY"/>
        </w:rPr>
        <w:t xml:space="preserve"> decrease learning outcomes</w:t>
      </w:r>
      <w:r>
        <w:rPr>
          <w:i/>
          <w:iCs/>
          <w:sz w:val="24"/>
          <w:szCs w:val="24"/>
          <w:lang w:val="ms-MY"/>
        </w:rPr>
        <w:t xml:space="preserve">. </w:t>
      </w:r>
    </w:p>
    <w:p>
      <w:pPr>
        <w:pStyle w:val="style0"/>
        <w:spacing w:lineRule="auto" w:line="240"/>
        <w:ind w:left="720"/>
        <w:jc w:val="both"/>
        <w:rPr>
          <w:i/>
          <w:iCs/>
          <w:sz w:val="24"/>
          <w:szCs w:val="24"/>
          <w:lang w:val="ms-MY"/>
        </w:rPr>
      </w:pPr>
    </w:p>
    <w:p>
      <w:pPr>
        <w:pStyle w:val="style0"/>
        <w:spacing w:lineRule="auto" w:line="240"/>
        <w:jc w:val="both"/>
        <w:rPr>
          <w:i/>
          <w:iCs/>
          <w:sz w:val="24"/>
          <w:szCs w:val="24"/>
          <w:lang w:val="ms-MY"/>
        </w:rPr>
      </w:pPr>
    </w:p>
    <w:p>
      <w:pPr>
        <w:pStyle w:val="style0"/>
        <w:spacing w:lineRule="auto" w:line="360"/>
        <w:jc w:val="both"/>
        <w:rPr>
          <w:b/>
          <w:bCs/>
          <w:sz w:val="24"/>
          <w:szCs w:val="24"/>
          <w:lang w:val="ms-MY"/>
        </w:rPr>
      </w:pPr>
      <w:r>
        <w:rPr>
          <w:b/>
          <w:bCs/>
          <w:sz w:val="24"/>
          <w:szCs w:val="24"/>
          <w:lang w:val="ms-MY"/>
        </w:rPr>
        <w:t xml:space="preserve">(c) </w:t>
      </w:r>
      <w:r>
        <w:rPr>
          <w:b/>
          <w:bCs/>
          <w:sz w:val="24"/>
          <w:szCs w:val="24"/>
          <w:lang w:val="ms-MY"/>
        </w:rPr>
        <w:t>These two opinions are supported by the statement of Siti (informant 8, 18 years)</w:t>
      </w:r>
      <w:r>
        <w:rPr>
          <w:b/>
          <w:bCs/>
          <w:sz w:val="24"/>
          <w:szCs w:val="24"/>
          <w:lang w:val="ms-MY"/>
        </w:rPr>
        <w:t>,</w:t>
      </w:r>
      <w:r>
        <w:rPr>
          <w:b/>
          <w:bCs/>
          <w:sz w:val="24"/>
          <w:szCs w:val="24"/>
          <w:lang w:val="ms-MY"/>
        </w:rPr>
        <w:t xml:space="preserve"> a </w:t>
      </w:r>
      <w:r>
        <w:rPr>
          <w:b/>
          <w:bCs/>
          <w:sz w:val="24"/>
          <w:szCs w:val="24"/>
          <w:lang w:val="ms-MY"/>
        </w:rPr>
        <w:t xml:space="preserve">  </w:t>
      </w:r>
      <w:r>
        <w:rPr>
          <w:b/>
          <w:bCs/>
          <w:sz w:val="24"/>
          <w:szCs w:val="24"/>
          <w:lang w:val="ms-MY"/>
        </w:rPr>
        <w:t xml:space="preserve">student of the Almuslihuun Blitar Engineering College that: </w:t>
      </w:r>
    </w:p>
    <w:p>
      <w:pPr>
        <w:pStyle w:val="style0"/>
        <w:spacing w:lineRule="auto" w:line="360"/>
        <w:ind w:left="709" w:hanging="709"/>
        <w:jc w:val="both"/>
        <w:rPr>
          <w:i/>
          <w:iCs/>
          <w:sz w:val="24"/>
          <w:szCs w:val="24"/>
          <w:lang w:val="ms-MY"/>
        </w:rPr>
      </w:pPr>
      <w:r>
        <w:rPr>
          <w:i/>
          <w:iCs/>
          <w:sz w:val="24"/>
          <w:szCs w:val="24"/>
          <w:lang w:val="ms-MY"/>
        </w:rPr>
        <w:t xml:space="preserve">“As explained above, parents and lecturers must work together to provide learning motivation for children and their students. </w:t>
      </w:r>
      <w:r>
        <w:rPr>
          <w:i/>
          <w:iCs/>
          <w:sz w:val="24"/>
          <w:szCs w:val="24"/>
          <w:lang w:val="ms-MY"/>
        </w:rPr>
        <w:t>T</w:t>
      </w:r>
      <w:r>
        <w:rPr>
          <w:i/>
          <w:iCs/>
          <w:sz w:val="24"/>
          <w:szCs w:val="24"/>
          <w:lang w:val="ms-MY"/>
        </w:rPr>
        <w:t>his online learning process is also a new challenge for parents and lecturers. This starts from the readiness of parents to facilitate and provide assistance to children and the readiness of new models, strategies</w:t>
      </w:r>
      <w:r>
        <w:rPr>
          <w:i/>
          <w:iCs/>
          <w:sz w:val="24"/>
          <w:szCs w:val="24"/>
          <w:lang w:val="ms-MY"/>
        </w:rPr>
        <w:t>,</w:t>
      </w:r>
      <w:r>
        <w:rPr>
          <w:i/>
          <w:iCs/>
          <w:sz w:val="24"/>
          <w:szCs w:val="24"/>
          <w:lang w:val="ms-MY"/>
        </w:rPr>
        <w:t xml:space="preserve"> and methods in teaching that </w:t>
      </w:r>
      <w:r>
        <w:rPr>
          <w:i/>
          <w:iCs/>
          <w:sz w:val="24"/>
          <w:szCs w:val="24"/>
          <w:lang w:val="ms-MY"/>
        </w:rPr>
        <w:t>lecturers or educators must develop</w:t>
      </w:r>
      <w:r>
        <w:rPr>
          <w:i/>
          <w:iCs/>
          <w:sz w:val="24"/>
          <w:szCs w:val="24"/>
          <w:lang w:val="ms-MY"/>
        </w:rPr>
        <w:t xml:space="preserve">. Educators must be able to provide innovation and express their creativity in carrying out the online learning process. Although sometimes educators are said to </w:t>
      </w:r>
      <w:r>
        <w:rPr>
          <w:i/>
          <w:iCs/>
          <w:sz w:val="24"/>
          <w:szCs w:val="24"/>
          <w:lang w:val="ms-MY"/>
        </w:rPr>
        <w:t>have an age factor already</w:t>
      </w:r>
      <w:r>
        <w:rPr>
          <w:i/>
          <w:iCs/>
          <w:sz w:val="24"/>
          <w:szCs w:val="24"/>
          <w:lang w:val="ms-MY"/>
        </w:rPr>
        <w:t xml:space="preserve">, it could be that this factor makes it difficult for educators to use technology during the online learning process. However, </w:t>
      </w:r>
      <w:r>
        <w:rPr>
          <w:i/>
          <w:iCs/>
          <w:sz w:val="24"/>
          <w:szCs w:val="24"/>
          <w:lang w:val="ms-MY"/>
        </w:rPr>
        <w:t>educators and students inevitably</w:t>
      </w:r>
      <w:r>
        <w:rPr>
          <w:i/>
          <w:iCs/>
          <w:sz w:val="24"/>
          <w:szCs w:val="24"/>
          <w:lang w:val="ms-MY"/>
        </w:rPr>
        <w:t xml:space="preserve"> learn to be familiar with </w:t>
      </w:r>
      <w:r>
        <w:rPr>
          <w:i/>
          <w:iCs/>
          <w:sz w:val="24"/>
          <w:szCs w:val="24"/>
          <w:lang w:val="ms-MY"/>
        </w:rPr>
        <w:t xml:space="preserve">the </w:t>
      </w:r>
      <w:r>
        <w:rPr>
          <w:i/>
          <w:iCs/>
          <w:sz w:val="24"/>
          <w:szCs w:val="24"/>
          <w:lang w:val="ms-MY"/>
        </w:rPr>
        <w:t xml:space="preserve">technology. </w:t>
      </w:r>
    </w:p>
    <w:p>
      <w:pPr>
        <w:pStyle w:val="style0"/>
        <w:spacing w:lineRule="auto" w:line="240"/>
        <w:jc w:val="both"/>
        <w:rPr>
          <w:sz w:val="24"/>
          <w:szCs w:val="24"/>
          <w:lang w:val="ms-MY"/>
        </w:rPr>
      </w:pPr>
    </w:p>
    <w:p>
      <w:pPr>
        <w:pStyle w:val="style0"/>
        <w:spacing w:lineRule="auto" w:line="360"/>
        <w:ind w:firstLine="584"/>
        <w:jc w:val="both"/>
        <w:rPr>
          <w:sz w:val="24"/>
          <w:szCs w:val="24"/>
        </w:rPr>
      </w:pPr>
      <w:r>
        <w:rPr>
          <w:sz w:val="24"/>
          <w:szCs w:val="24"/>
        </w:rPr>
        <w:t>Evy's</w:t>
      </w:r>
      <w:r>
        <w:rPr>
          <w:sz w:val="24"/>
          <w:szCs w:val="24"/>
        </w:rPr>
        <w:t xml:space="preserve"> views represent the views of lecturers in general. </w:t>
      </w:r>
      <w:r>
        <w:rPr>
          <w:sz w:val="24"/>
          <w:szCs w:val="24"/>
        </w:rPr>
        <w:t>Angga</w:t>
      </w:r>
      <w:r>
        <w:rPr>
          <w:sz w:val="24"/>
          <w:szCs w:val="24"/>
        </w:rPr>
        <w:t xml:space="preserve"> (Informant 5, 41 years)</w:t>
      </w:r>
      <w:r>
        <w:rPr>
          <w:sz w:val="24"/>
          <w:szCs w:val="24"/>
        </w:rPr>
        <w:t>,</w:t>
      </w:r>
      <w:r>
        <w:rPr>
          <w:sz w:val="24"/>
          <w:szCs w:val="24"/>
        </w:rPr>
        <w:t xml:space="preserve"> a lecturer at the State Islamic University of Malang</w:t>
      </w:r>
      <w:r>
        <w:rPr>
          <w:sz w:val="24"/>
          <w:szCs w:val="24"/>
        </w:rPr>
        <w:t>,</w:t>
      </w:r>
      <w:r>
        <w:rPr>
          <w:sz w:val="24"/>
          <w:szCs w:val="24"/>
        </w:rPr>
        <w:t xml:space="preserve"> confirmed this by saying:</w:t>
      </w:r>
    </w:p>
    <w:p>
      <w:pPr>
        <w:pStyle w:val="style0"/>
        <w:spacing w:lineRule="auto" w:line="360"/>
        <w:ind w:left="709" w:hanging="125"/>
        <w:jc w:val="both"/>
        <w:rPr>
          <w:sz w:val="24"/>
          <w:szCs w:val="24"/>
        </w:rPr>
      </w:pPr>
      <w:r>
        <w:rPr>
          <w:sz w:val="24"/>
          <w:szCs w:val="24"/>
        </w:rPr>
        <w:t>“The experience of teaching by utilizing online technology is a new experience for lecturers to train themselves to adapt themselves to this fast-paced situation. This has resulted</w:t>
      </w:r>
      <w:r>
        <w:rPr>
          <w:sz w:val="24"/>
          <w:szCs w:val="24"/>
        </w:rPr>
        <w:t xml:space="preserve"> in lecturers' academic impact being focused</w:t>
      </w:r>
      <w:r>
        <w:rPr>
          <w:sz w:val="24"/>
          <w:szCs w:val="24"/>
        </w:rPr>
        <w:t xml:space="preserve"> on finding various kinds of literature and research materials that are more optimal by utilizing internet technology facilitated by the State Islamic University of Malang. When viewed from the perspective of parents so far, there is no direct data or information that has positive or negative values ​​on </w:t>
      </w:r>
      <w:r>
        <w:rPr>
          <w:sz w:val="24"/>
          <w:szCs w:val="24"/>
        </w:rPr>
        <w:t>students' character</w:t>
      </w:r>
      <w:r>
        <w:rPr>
          <w:sz w:val="24"/>
          <w:szCs w:val="24"/>
        </w:rPr>
        <w:t xml:space="preserve"> after attending my lectures. This means that some parents also allow or indeed out-of-control is left to their lecturers to train their children”.</w:t>
      </w:r>
    </w:p>
    <w:bookmarkStart w:id="15" w:name="_Hlk92706464"/>
    <w:bookmarkEnd w:id="14"/>
    <w:p>
      <w:pPr>
        <w:pStyle w:val="style0"/>
        <w:spacing w:lineRule="auto" w:line="360"/>
        <w:ind w:firstLine="584"/>
        <w:jc w:val="both"/>
        <w:rPr>
          <w:sz w:val="24"/>
          <w:szCs w:val="24"/>
        </w:rPr>
      </w:pPr>
      <w:r>
        <w:rPr>
          <w:sz w:val="24"/>
          <w:szCs w:val="24"/>
        </w:rPr>
        <w:t xml:space="preserve">Interview data and data from social media that have been shown show that the </w:t>
      </w:r>
      <w:r>
        <w:rPr>
          <w:sz w:val="24"/>
          <w:szCs w:val="24"/>
        </w:rPr>
        <w:t xml:space="preserve">implications of online education inequality in universities during the COVID-19 pandemic </w:t>
      </w:r>
      <w:r>
        <w:rPr>
          <w:sz w:val="24"/>
          <w:szCs w:val="24"/>
        </w:rPr>
        <w:t>impact the learning experience, impact</w:t>
      </w:r>
      <w:r>
        <w:rPr>
          <w:sz w:val="24"/>
          <w:szCs w:val="24"/>
        </w:rPr>
        <w:t xml:space="preserve"> learning outcomes, and have an impact on parents and lecturers. This is reinforced by data from the analysis of researchers using </w:t>
      </w:r>
      <w:r>
        <w:rPr>
          <w:sz w:val="24"/>
          <w:szCs w:val="24"/>
        </w:rPr>
        <w:t>Maxqda</w:t>
      </w:r>
      <w:r>
        <w:rPr>
          <w:sz w:val="24"/>
          <w:szCs w:val="24"/>
        </w:rPr>
        <w:t xml:space="preserve"> in the </w:t>
      </w:r>
      <w:r>
        <w:rPr>
          <w:sz w:val="24"/>
          <w:szCs w:val="24"/>
        </w:rPr>
        <w:t>interviews,</w:t>
      </w:r>
      <w:r>
        <w:rPr>
          <w:sz w:val="24"/>
          <w:szCs w:val="24"/>
        </w:rPr>
        <w:t xml:space="preserve"> which quantitatively showed that online learning had a very high impact on parents and lecturers by 49.4%. There are two perspectives</w:t>
      </w:r>
      <w:r>
        <w:rPr>
          <w:sz w:val="24"/>
          <w:szCs w:val="24"/>
        </w:rPr>
        <w:t>. F</w:t>
      </w:r>
      <w:r>
        <w:rPr>
          <w:sz w:val="24"/>
          <w:szCs w:val="24"/>
        </w:rPr>
        <w:t>or parents</w:t>
      </w:r>
      <w:r>
        <w:rPr>
          <w:sz w:val="24"/>
          <w:szCs w:val="24"/>
        </w:rPr>
        <w:t>,</w:t>
      </w:r>
      <w:r>
        <w:rPr>
          <w:sz w:val="24"/>
          <w:szCs w:val="24"/>
        </w:rPr>
        <w:t xml:space="preserve"> it has an economic impact and dividend knowledge because not all parents understand the digital world and the transfer of knowledge process. Meanwhile, lecturers need a process for self-adjustment and accommodative to digital developments because of the demands for e-learning. </w:t>
      </w:r>
      <w:r>
        <w:rPr>
          <w:sz w:val="24"/>
          <w:szCs w:val="24"/>
        </w:rPr>
        <w:t>At the same time,</w:t>
      </w:r>
      <w:r>
        <w:rPr>
          <w:sz w:val="24"/>
          <w:szCs w:val="24"/>
        </w:rPr>
        <w:t xml:space="preserve"> the second impact is 31.2%, which has implications for the student's learning experience. There is a transformation of learning from offline to online</w:t>
      </w:r>
      <w:r>
        <w:rPr>
          <w:sz w:val="24"/>
          <w:szCs w:val="24"/>
        </w:rPr>
        <w:t>,</w:t>
      </w:r>
      <w:r>
        <w:rPr>
          <w:sz w:val="24"/>
          <w:szCs w:val="24"/>
        </w:rPr>
        <w:t xml:space="preserve"> </w:t>
      </w:r>
      <w:r>
        <w:rPr>
          <w:sz w:val="24"/>
          <w:szCs w:val="24"/>
        </w:rPr>
        <w:t xml:space="preserve">which </w:t>
      </w:r>
      <w:r>
        <w:rPr>
          <w:sz w:val="24"/>
          <w:szCs w:val="24"/>
        </w:rPr>
        <w:t xml:space="preserve">has implications for understanding knowledge. Meanwhile, of the three implications, the lowest percentage is the impact of learning outcomes, 19.5%. </w:t>
      </w:r>
      <w:r>
        <w:rPr>
          <w:sz w:val="24"/>
          <w:szCs w:val="24"/>
        </w:rPr>
        <w:t xml:space="preserve">(Researcher analysis based on </w:t>
      </w:r>
      <w:r>
        <w:rPr>
          <w:sz w:val="24"/>
          <w:szCs w:val="24"/>
        </w:rPr>
        <w:t>Maxqda</w:t>
      </w:r>
      <w:r>
        <w:rPr>
          <w:sz w:val="24"/>
          <w:szCs w:val="24"/>
        </w:rPr>
        <w:t>).</w:t>
      </w:r>
      <w:bookmarkEnd w:id="15"/>
    </w:p>
    <w:p>
      <w:pPr>
        <w:pStyle w:val="style0"/>
        <w:spacing w:lineRule="auto" w:line="360"/>
        <w:ind w:firstLine="584"/>
        <w:jc w:val="both"/>
        <w:rPr>
          <w:sz w:val="24"/>
          <w:szCs w:val="24"/>
        </w:rPr>
      </w:pPr>
    </w:p>
    <w:p>
      <w:pPr>
        <w:pStyle w:val="style0"/>
        <w:spacing w:lineRule="auto" w:line="360"/>
        <w:jc w:val="center"/>
        <w:rPr>
          <w:sz w:val="24"/>
          <w:szCs w:val="24"/>
        </w:rPr>
      </w:pPr>
      <w:r>
        <w:rPr>
          <w:sz w:val="24"/>
          <w:szCs w:val="24"/>
        </w:rPr>
        <w:t>Table 3.</w:t>
      </w:r>
      <w:r>
        <w:rPr>
          <w:sz w:val="24"/>
          <w:szCs w:val="24"/>
        </w:rPr>
        <w:t xml:space="preserve"> Implications of online learning in percentage</w:t>
      </w:r>
    </w:p>
    <w:tbl>
      <w:tblPr>
        <w:tblStyle w:val="style4115"/>
        <w:tblW w:w="0" w:type="auto"/>
        <w:jc w:val="center"/>
        <w:tblLook w:val="04A0" w:firstRow="1" w:lastRow="0" w:firstColumn="1" w:lastColumn="0" w:noHBand="0" w:noVBand="1"/>
      </w:tblPr>
      <w:tblGrid>
        <w:gridCol w:w="2693"/>
        <w:gridCol w:w="1843"/>
        <w:gridCol w:w="1843"/>
      </w:tblGrid>
      <w:tr>
        <w:trPr>
          <w:jc w:val="center"/>
        </w:trPr>
        <w:tc>
          <w:tcPr>
            <w:tcW w:w="2693" w:type="dxa"/>
            <w:tcBorders/>
            <w:shd w:val="clear" w:color="auto" w:fill="f2dbdb"/>
          </w:tcPr>
          <w:p>
            <w:pPr>
              <w:pStyle w:val="style0"/>
              <w:spacing w:lineRule="auto" w:line="360"/>
              <w:jc w:val="center"/>
              <w:rPr>
                <w:sz w:val="20"/>
              </w:rPr>
            </w:pPr>
          </w:p>
        </w:tc>
        <w:tc>
          <w:tcPr>
            <w:tcW w:w="1843" w:type="dxa"/>
            <w:tcBorders/>
            <w:shd w:val="clear" w:color="auto" w:fill="f2dbdb"/>
          </w:tcPr>
          <w:p>
            <w:pPr>
              <w:pStyle w:val="style0"/>
              <w:spacing w:lineRule="auto" w:line="360"/>
              <w:jc w:val="center"/>
              <w:rPr>
                <w:sz w:val="20"/>
              </w:rPr>
            </w:pPr>
            <w:r>
              <w:rPr>
                <w:sz w:val="20"/>
              </w:rPr>
              <w:t>Segments</w:t>
            </w:r>
          </w:p>
        </w:tc>
        <w:tc>
          <w:tcPr>
            <w:tcW w:w="1843" w:type="dxa"/>
            <w:tcBorders/>
            <w:shd w:val="clear" w:color="auto" w:fill="f2dbdb"/>
          </w:tcPr>
          <w:p>
            <w:pPr>
              <w:pStyle w:val="style0"/>
              <w:spacing w:lineRule="auto" w:line="360"/>
              <w:jc w:val="center"/>
              <w:rPr>
                <w:sz w:val="20"/>
              </w:rPr>
            </w:pPr>
            <w:r>
              <w:rPr>
                <w:sz w:val="20"/>
              </w:rPr>
              <w:t>Percentage</w:t>
            </w:r>
          </w:p>
        </w:tc>
      </w:tr>
      <w:tr>
        <w:tblPrEx/>
        <w:trPr>
          <w:jc w:val="center"/>
        </w:trPr>
        <w:tc>
          <w:tcPr>
            <w:tcW w:w="2693" w:type="dxa"/>
            <w:tcBorders/>
          </w:tcPr>
          <w:p>
            <w:pPr>
              <w:pStyle w:val="style0"/>
              <w:spacing w:lineRule="auto" w:line="360"/>
              <w:rPr>
                <w:b w:val="false"/>
                <w:bCs w:val="false"/>
                <w:sz w:val="20"/>
              </w:rPr>
            </w:pPr>
            <w:r>
              <w:rPr>
                <w:b w:val="false"/>
                <w:bCs w:val="false"/>
                <w:sz w:val="20"/>
              </w:rPr>
              <w:t>Result</w:t>
            </w:r>
          </w:p>
        </w:tc>
        <w:tc>
          <w:tcPr>
            <w:tcW w:w="1843" w:type="dxa"/>
            <w:tcBorders/>
          </w:tcPr>
          <w:p>
            <w:pPr>
              <w:pStyle w:val="style0"/>
              <w:spacing w:lineRule="auto" w:line="360"/>
              <w:jc w:val="right"/>
              <w:rPr>
                <w:sz w:val="20"/>
              </w:rPr>
            </w:pPr>
            <w:r>
              <w:rPr>
                <w:sz w:val="20"/>
              </w:rPr>
              <w:t>38</w:t>
            </w:r>
          </w:p>
        </w:tc>
        <w:tc>
          <w:tcPr>
            <w:tcW w:w="1843" w:type="dxa"/>
            <w:tcBorders/>
          </w:tcPr>
          <w:p>
            <w:pPr>
              <w:pStyle w:val="style0"/>
              <w:spacing w:lineRule="auto" w:line="360"/>
              <w:jc w:val="right"/>
              <w:rPr>
                <w:sz w:val="20"/>
              </w:rPr>
            </w:pPr>
            <w:r>
              <w:rPr>
                <w:sz w:val="20"/>
              </w:rPr>
              <w:t>49,4</w:t>
            </w:r>
          </w:p>
        </w:tc>
      </w:tr>
      <w:tr>
        <w:tblPrEx/>
        <w:trPr>
          <w:jc w:val="center"/>
        </w:trPr>
        <w:tc>
          <w:tcPr>
            <w:tcW w:w="2693" w:type="dxa"/>
            <w:tcBorders/>
          </w:tcPr>
          <w:p>
            <w:pPr>
              <w:pStyle w:val="style0"/>
              <w:spacing w:lineRule="auto" w:line="360"/>
              <w:rPr>
                <w:b w:val="false"/>
                <w:bCs w:val="false"/>
                <w:sz w:val="20"/>
              </w:rPr>
            </w:pPr>
            <w:r>
              <w:rPr>
                <w:b w:val="false"/>
                <w:bCs w:val="false"/>
                <w:sz w:val="20"/>
              </w:rPr>
              <w:t>Learning experience</w:t>
            </w:r>
          </w:p>
        </w:tc>
        <w:tc>
          <w:tcPr>
            <w:tcW w:w="1843" w:type="dxa"/>
            <w:tcBorders/>
          </w:tcPr>
          <w:p>
            <w:pPr>
              <w:pStyle w:val="style0"/>
              <w:spacing w:lineRule="auto" w:line="360"/>
              <w:jc w:val="right"/>
              <w:rPr>
                <w:sz w:val="20"/>
              </w:rPr>
            </w:pPr>
            <w:r>
              <w:rPr>
                <w:sz w:val="20"/>
              </w:rPr>
              <w:t>24</w:t>
            </w:r>
          </w:p>
        </w:tc>
        <w:tc>
          <w:tcPr>
            <w:tcW w:w="1843" w:type="dxa"/>
            <w:tcBorders/>
          </w:tcPr>
          <w:p>
            <w:pPr>
              <w:pStyle w:val="style0"/>
              <w:spacing w:lineRule="auto" w:line="360"/>
              <w:jc w:val="right"/>
              <w:rPr>
                <w:sz w:val="20"/>
              </w:rPr>
            </w:pPr>
            <w:r>
              <w:rPr>
                <w:sz w:val="20"/>
              </w:rPr>
              <w:t>31,2</w:t>
            </w:r>
          </w:p>
        </w:tc>
      </w:tr>
      <w:tr>
        <w:tblPrEx/>
        <w:trPr>
          <w:jc w:val="center"/>
        </w:trPr>
        <w:tc>
          <w:tcPr>
            <w:tcW w:w="2693" w:type="dxa"/>
            <w:tcBorders/>
          </w:tcPr>
          <w:p>
            <w:pPr>
              <w:pStyle w:val="style0"/>
              <w:spacing w:lineRule="auto" w:line="360"/>
              <w:rPr>
                <w:b w:val="false"/>
                <w:bCs w:val="false"/>
                <w:sz w:val="20"/>
              </w:rPr>
            </w:pPr>
            <w:r>
              <w:rPr>
                <w:b w:val="false"/>
                <w:bCs w:val="false"/>
                <w:sz w:val="20"/>
              </w:rPr>
              <w:t>Learning Outcomes</w:t>
            </w:r>
          </w:p>
        </w:tc>
        <w:tc>
          <w:tcPr>
            <w:tcW w:w="1843" w:type="dxa"/>
            <w:tcBorders/>
          </w:tcPr>
          <w:p>
            <w:pPr>
              <w:pStyle w:val="style0"/>
              <w:spacing w:lineRule="auto" w:line="360"/>
              <w:jc w:val="right"/>
              <w:rPr>
                <w:sz w:val="20"/>
              </w:rPr>
            </w:pPr>
            <w:r>
              <w:rPr>
                <w:sz w:val="20"/>
              </w:rPr>
              <w:t>15</w:t>
            </w:r>
          </w:p>
        </w:tc>
        <w:tc>
          <w:tcPr>
            <w:tcW w:w="1843" w:type="dxa"/>
            <w:tcBorders/>
          </w:tcPr>
          <w:p>
            <w:pPr>
              <w:pStyle w:val="style0"/>
              <w:spacing w:lineRule="auto" w:line="360"/>
              <w:jc w:val="right"/>
              <w:rPr>
                <w:sz w:val="20"/>
              </w:rPr>
            </w:pPr>
            <w:r>
              <w:rPr>
                <w:sz w:val="20"/>
              </w:rPr>
              <w:t>19,5</w:t>
            </w:r>
          </w:p>
        </w:tc>
      </w:tr>
      <w:tr>
        <w:tblPrEx/>
        <w:trPr>
          <w:jc w:val="center"/>
        </w:trPr>
        <w:tc>
          <w:tcPr>
            <w:tcW w:w="2693" w:type="dxa"/>
            <w:tcBorders/>
          </w:tcPr>
          <w:p>
            <w:pPr>
              <w:pStyle w:val="style0"/>
              <w:spacing w:lineRule="auto" w:line="360"/>
              <w:jc w:val="right"/>
              <w:rPr>
                <w:b w:val="false"/>
                <w:bCs w:val="false"/>
                <w:sz w:val="20"/>
              </w:rPr>
            </w:pPr>
            <w:r>
              <w:rPr>
                <w:b w:val="false"/>
                <w:bCs w:val="false"/>
                <w:sz w:val="20"/>
              </w:rPr>
              <w:t>TOTAL</w:t>
            </w:r>
          </w:p>
        </w:tc>
        <w:tc>
          <w:tcPr>
            <w:tcW w:w="1843" w:type="dxa"/>
            <w:tcBorders/>
          </w:tcPr>
          <w:p>
            <w:pPr>
              <w:pStyle w:val="style0"/>
              <w:spacing w:lineRule="auto" w:line="360"/>
              <w:jc w:val="right"/>
              <w:rPr>
                <w:sz w:val="20"/>
              </w:rPr>
            </w:pPr>
            <w:r>
              <w:rPr>
                <w:sz w:val="20"/>
              </w:rPr>
              <w:t>77</w:t>
            </w:r>
          </w:p>
        </w:tc>
        <w:tc>
          <w:tcPr>
            <w:tcW w:w="1843" w:type="dxa"/>
            <w:tcBorders/>
          </w:tcPr>
          <w:p>
            <w:pPr>
              <w:pStyle w:val="style0"/>
              <w:spacing w:lineRule="auto" w:line="360"/>
              <w:jc w:val="right"/>
              <w:rPr>
                <w:sz w:val="20"/>
              </w:rPr>
            </w:pPr>
            <w:r>
              <w:rPr>
                <w:sz w:val="20"/>
              </w:rPr>
              <w:t>100,0</w:t>
            </w:r>
          </w:p>
        </w:tc>
      </w:tr>
    </w:tbl>
    <w:p>
      <w:pPr>
        <w:pStyle w:val="style0"/>
        <w:spacing w:lineRule="auto" w:line="360"/>
        <w:ind w:firstLine="584"/>
        <w:jc w:val="center"/>
        <w:rPr>
          <w:sz w:val="24"/>
          <w:szCs w:val="24"/>
        </w:rPr>
      </w:pPr>
    </w:p>
    <w:p>
      <w:pPr>
        <w:pStyle w:val="style0"/>
        <w:spacing w:lineRule="auto" w:line="360"/>
        <w:ind w:firstLine="584"/>
        <w:jc w:val="both"/>
        <w:rPr>
          <w:sz w:val="24"/>
          <w:szCs w:val="24"/>
        </w:rPr>
      </w:pPr>
      <w:r>
        <w:rPr>
          <w:sz w:val="24"/>
          <w:szCs w:val="24"/>
        </w:rPr>
        <w:t>Learning outcomes as implications with the lowest percentage because the learning outcomes tend to have no impact.</w:t>
      </w:r>
      <w:r>
        <w:rPr>
          <w:sz w:val="24"/>
          <w:szCs w:val="24"/>
        </w:rPr>
        <w:t xml:space="preserve"> Learning evaluations are carried out online, so monitoring </w:t>
      </w:r>
      <w:r>
        <w:rPr>
          <w:sz w:val="24"/>
          <w:szCs w:val="24"/>
        </w:rPr>
        <w:t>the learning outcomes assessment process is based on portfolios compiled by students online</w:t>
      </w:r>
      <w:r>
        <w:rPr>
          <w:sz w:val="24"/>
          <w:szCs w:val="24"/>
        </w:rPr>
        <w:t>. In this case, it is reasonable because the process when working is beyond the reach of the</w:t>
      </w:r>
      <w:r>
        <w:rPr>
          <w:sz w:val="24"/>
          <w:szCs w:val="24"/>
        </w:rPr>
        <w:t xml:space="preserve"> </w:t>
      </w:r>
      <w:r>
        <w:rPr>
          <w:sz w:val="24"/>
          <w:szCs w:val="24"/>
        </w:rPr>
        <w:t>lecturer.</w:t>
      </w:r>
    </w:p>
    <w:p>
      <w:pPr>
        <w:pStyle w:val="style0"/>
        <w:spacing w:lineRule="auto" w:line="360"/>
        <w:ind w:firstLine="584"/>
        <w:jc w:val="center"/>
        <w:rPr>
          <w:sz w:val="24"/>
          <w:szCs w:val="24"/>
        </w:rPr>
      </w:pPr>
      <w:r>
        <w:rPr>
          <w:b/>
          <w:bCs/>
          <w:noProof/>
          <w:sz w:val="24"/>
          <w:szCs w:val="24"/>
          <w:lang w:val="id-ID" w:eastAsia="id-ID"/>
        </w:rPr>
      </w:r>
      <w:r>
        <w:rPr>
          <w:b/>
          <w:bCs/>
          <w:noProof/>
          <w:sz w:val="24"/>
          <w:szCs w:val="24"/>
          <w:lang w:val="id-ID" w:eastAsia="id-ID"/>
        </w:rPr>
      </w:r>
      <w:r>
        <w:rPr>
          <w:b/>
          <w:bCs/>
          <w:noProof/>
          <w:sz w:val="24"/>
          <w:szCs w:val="24"/>
          <w:lang w:val="id-ID" w:eastAsia="id-ID"/>
        </w:rPr>
      </w:r>
      <w:r>
        <w:rPr>
          <w:b/>
          <w:bCs/>
          <w:noProof/>
          <w:sz w:val="24"/>
          <w:szCs w:val="24"/>
          <w:lang w:val="id-ID" w:eastAsia="id-ID"/>
        </w:rPr>
        <w:drawing>
          <wp:inline distL="114300" distT="0" distB="0" distR="114300">
            <wp:extent cx="4261899" cy="219456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bCs/>
          <w:noProof/>
          <w:sz w:val="24"/>
          <w:szCs w:val="24"/>
          <w:lang w:val="id-ID" w:eastAsia="id-ID"/>
        </w:rPr>
      </w:r>
    </w:p>
    <w:p>
      <w:pPr>
        <w:pStyle w:val="style0"/>
        <w:spacing w:lineRule="auto" w:line="360"/>
        <w:ind w:firstLine="584"/>
        <w:jc w:val="both"/>
        <w:rPr>
          <w:sz w:val="24"/>
          <w:szCs w:val="24"/>
        </w:rPr>
      </w:pPr>
      <w:r>
        <w:rPr>
          <w:sz w:val="24"/>
          <w:szCs w:val="24"/>
        </w:rPr>
        <w:t>Learning outcomes as implications with the lowest percentage because the learning outcomes tend to have no impact.</w:t>
      </w:r>
      <w:r>
        <w:rPr>
          <w:sz w:val="24"/>
          <w:szCs w:val="24"/>
        </w:rPr>
        <w:t xml:space="preserve"> Learning evaluations are carried out online, so monitoring </w:t>
      </w:r>
      <w:r>
        <w:rPr>
          <w:sz w:val="24"/>
          <w:szCs w:val="24"/>
        </w:rPr>
        <w:t>the learning outcomes assessment process is based on portfolios compiled by students online</w:t>
      </w:r>
      <w:r>
        <w:rPr>
          <w:sz w:val="24"/>
          <w:szCs w:val="24"/>
        </w:rPr>
        <w:t>. In this case, it is reasonable because the process when working is beyond the reach of the lecturer.</w:t>
      </w:r>
    </w:p>
    <w:p>
      <w:pPr>
        <w:pStyle w:val="style0"/>
        <w:spacing w:lineRule="auto" w:line="360"/>
        <w:ind w:right="-23" w:firstLine="584"/>
        <w:jc w:val="both"/>
        <w:rPr>
          <w:sz w:val="24"/>
          <w:szCs w:val="24"/>
        </w:rPr>
      </w:pPr>
      <w:r>
        <w:rPr>
          <w:sz w:val="24"/>
          <w:szCs w:val="24"/>
        </w:rPr>
        <w:t xml:space="preserve">Overall, the data that has been collected by researchers based on the results of interviews and documentation has been grabbed by researchers by providing coding and </w:t>
      </w:r>
      <w:r>
        <w:rPr>
          <w:sz w:val="24"/>
          <w:szCs w:val="24"/>
        </w:rPr>
        <w:t>analyzed</w:t>
      </w:r>
      <w:r>
        <w:rPr>
          <w:sz w:val="24"/>
          <w:szCs w:val="24"/>
        </w:rPr>
        <w:t xml:space="preserve"> </w:t>
      </w:r>
      <w:r>
        <w:rPr>
          <w:sz w:val="24"/>
          <w:szCs w:val="24"/>
        </w:rPr>
        <w:t xml:space="preserve">using </w:t>
      </w:r>
      <w:r>
        <w:rPr>
          <w:sz w:val="24"/>
          <w:szCs w:val="24"/>
        </w:rPr>
        <w:t xml:space="preserve"> </w:t>
      </w:r>
      <w:r>
        <w:rPr>
          <w:sz w:val="24"/>
          <w:szCs w:val="24"/>
        </w:rPr>
        <w:t>Maxqda</w:t>
      </w:r>
      <w:r>
        <w:rPr>
          <w:sz w:val="24"/>
          <w:szCs w:val="24"/>
        </w:rPr>
        <w:t>,</w:t>
      </w:r>
      <w:r>
        <w:rPr>
          <w:noProof/>
        </w:rPr>
        <w:t xml:space="preserve"> </w:t>
      </w:r>
    </w:p>
    <w:p>
      <w:pPr>
        <w:pStyle w:val="style0"/>
        <w:spacing w:lineRule="auto" w:line="360"/>
        <w:jc w:val="both"/>
        <w:rPr>
          <w:sz w:val="24"/>
          <w:szCs w:val="24"/>
        </w:rPr>
      </w:pPr>
      <w:r>
        <w:rPr>
          <w:noProof/>
          <w:lang w:val="id-ID" w:eastAsia="id-ID"/>
        </w:rPr>
        <w:object>
          <v:shape id="1033" type="#_x0000_t75" filled="f" stroked="f" alt="Chart, radar chart&#10;&#10;Description automatically generated" style="position:absolute;margin-left:0.0pt;margin-top:0.35pt;width:154.35pt;height:122.05pt;z-index:2;mso-position-horizontal:right;mso-position-horizontal-relative:margin;mso-position-vertical-relative:text;mso-width-percent:0;mso-height-percent:0;mso-width-relative:page;mso-height-relative:page;visibility:visible;">
            <v:imagedata r:id="rId9" embosscolor="white" o:title=""/>
            <v:stroke on="f"/>
            <w10:wrap type="square"/>
            <v:fill/>
          </v:shape>
          <o:OLEObject Type="EMBED" ProgID="Excel.Chart.8" ShapeID="1033" DrawAspect="Content" ObjectID="0" r:id="rId10"/>
        </w:object>
      </w:r>
      <w:r>
        <w:rPr>
          <w:sz w:val="24"/>
          <w:szCs w:val="24"/>
        </w:rPr>
        <w:t>showing</w:t>
      </w:r>
      <w:r>
        <w:rPr>
          <w:sz w:val="24"/>
          <w:szCs w:val="24"/>
        </w:rPr>
        <w:t xml:space="preserve"> the results that there is a strong relationship </w:t>
      </w:r>
      <w:commentRangeStart w:id="5"/>
      <w:r>
        <w:rPr>
          <w:sz w:val="24"/>
          <w:szCs w:val="24"/>
        </w:rPr>
        <w:t xml:space="preserve">as a trigger for student class inequality, namely the quota factor. Quotas </w:t>
      </w:r>
      <w:r>
        <w:rPr>
          <w:sz w:val="24"/>
          <w:szCs w:val="24"/>
        </w:rPr>
        <w:t>directly impact</w:t>
      </w:r>
      <w:r>
        <w:rPr>
          <w:sz w:val="24"/>
          <w:szCs w:val="24"/>
        </w:rPr>
        <w:t xml:space="preserve"> learning outcomes and lecturers as educators and parents.</w:t>
      </w:r>
      <w:r>
        <w:t xml:space="preserve"> </w:t>
      </w:r>
      <w:r>
        <w:rPr>
          <w:sz w:val="24"/>
          <w:szCs w:val="24"/>
        </w:rPr>
        <w:t>This is indicated by the size of the circle node</w:t>
      </w:r>
      <w:r>
        <w:rPr>
          <w:sz w:val="24"/>
          <w:szCs w:val="24"/>
        </w:rPr>
        <w:t>,</w:t>
      </w:r>
      <w:r>
        <w:rPr>
          <w:sz w:val="24"/>
          <w:szCs w:val="24"/>
        </w:rPr>
        <w:t xml:space="preserve"> as shown in the image below.</w:t>
      </w:r>
      <w:r>
        <w:t xml:space="preserve"> </w:t>
      </w:r>
      <w:r>
        <w:rPr>
          <w:sz w:val="24"/>
          <w:szCs w:val="24"/>
        </w:rPr>
        <w:t>While others also have a role in creating this inequality, the relationship is not as strong as learning outcomes, lecturers, and parents.  Among them are networks, devices, geographic location, and learning experiences</w:t>
      </w:r>
      <w:commentRangeEnd w:id="5"/>
      <w:r>
        <w:rPr>
          <w:rStyle w:val="style39"/>
        </w:rPr>
        <w:commentReference w:id="5"/>
      </w:r>
    </w:p>
    <w:p>
      <w:pPr>
        <w:pStyle w:val="style0"/>
        <w:spacing w:lineRule="auto" w:line="360"/>
        <w:jc w:val="both"/>
        <w:rPr>
          <w:b/>
          <w:bCs/>
          <w:sz w:val="24"/>
          <w:szCs w:val="24"/>
        </w:rPr>
      </w:pPr>
    </w:p>
    <w:commentRangeStart w:id="6"/>
    <w:p>
      <w:pPr>
        <w:pStyle w:val="style0"/>
        <w:spacing w:lineRule="auto" w:line="360"/>
        <w:jc w:val="both"/>
        <w:rPr>
          <w:b/>
          <w:bCs/>
          <w:sz w:val="24"/>
          <w:szCs w:val="24"/>
        </w:rPr>
      </w:pPr>
      <w:r>
        <w:rPr>
          <w:b/>
          <w:bCs/>
          <w:sz w:val="24"/>
          <w:szCs w:val="24"/>
        </w:rPr>
        <w:t xml:space="preserve">5. </w:t>
      </w:r>
      <w:r>
        <w:rPr>
          <w:b/>
          <w:bCs/>
          <w:sz w:val="24"/>
          <w:szCs w:val="24"/>
        </w:rPr>
        <w:t>DISCUSSION</w:t>
      </w:r>
      <w:commentRangeEnd w:id="6"/>
      <w:r>
        <w:rPr>
          <w:rStyle w:val="style39"/>
        </w:rPr>
        <w:commentReference w:id="6"/>
      </w:r>
    </w:p>
    <w:p>
      <w:pPr>
        <w:pStyle w:val="style0"/>
        <w:spacing w:lineRule="auto" w:line="360"/>
        <w:ind w:firstLine="720"/>
        <w:jc w:val="both"/>
        <w:rPr>
          <w:sz w:val="24"/>
          <w:szCs w:val="24"/>
        </w:rPr>
      </w:pPr>
      <w:r>
        <w:rPr>
          <w:sz w:val="24"/>
          <w:szCs w:val="24"/>
        </w:rPr>
        <w:t>Universities experienced various problem</w:t>
      </w:r>
      <w:r>
        <w:rPr>
          <w:sz w:val="24"/>
          <w:szCs w:val="24"/>
        </w:rPr>
        <w:t xml:space="preserve">s during the pandemic, especially the occurrence of class inequality in online education. Many universities are struggling to carry out online education properly due to gaps in equipment, quotas, </w:t>
      </w:r>
      <w:r>
        <w:rPr>
          <w:sz w:val="24"/>
          <w:szCs w:val="24"/>
        </w:rPr>
        <w:t>signals</w:t>
      </w:r>
      <w:r>
        <w:rPr>
          <w:sz w:val="24"/>
          <w:szCs w:val="24"/>
        </w:rPr>
        <w:t xml:space="preserve"> between groups of middle-upper/elite economic students and poor student groups. This study shows three disparities in online education.</w:t>
      </w:r>
    </w:p>
    <w:p>
      <w:pPr>
        <w:pStyle w:val="style0"/>
        <w:spacing w:lineRule="auto" w:line="360"/>
        <w:ind w:firstLine="720"/>
        <w:jc w:val="both"/>
        <w:rPr>
          <w:sz w:val="24"/>
          <w:szCs w:val="24"/>
        </w:rPr>
      </w:pPr>
      <w:r>
        <w:rPr>
          <w:sz w:val="24"/>
          <w:szCs w:val="24"/>
        </w:rPr>
        <w:t>Th</w:t>
      </w:r>
      <w:r>
        <w:rPr>
          <w:sz w:val="24"/>
          <w:szCs w:val="24"/>
        </w:rPr>
        <w:t>is research shows</w:t>
      </w:r>
      <w:r>
        <w:rPr>
          <w:sz w:val="24"/>
          <w:szCs w:val="24"/>
        </w:rPr>
        <w:t xml:space="preserve"> that there is class inequality in online education due to online education, equipment inequality, quota </w:t>
      </w:r>
      <w:r>
        <w:rPr>
          <w:sz w:val="24"/>
          <w:szCs w:val="24"/>
        </w:rPr>
        <w:t>fulfillment</w:t>
      </w:r>
      <w:r>
        <w:rPr>
          <w:sz w:val="24"/>
          <w:szCs w:val="24"/>
        </w:rPr>
        <w:t xml:space="preserve"> inequality, and internet network inequality. Second, </w:t>
      </w:r>
      <w:r>
        <w:rPr>
          <w:sz w:val="24"/>
          <w:szCs w:val="24"/>
        </w:rPr>
        <w:t>several factors cause class inequality, including the economic gap of parents, the education gap of parents,</w:t>
      </w:r>
      <w:r>
        <w:rPr>
          <w:sz w:val="24"/>
          <w:szCs w:val="24"/>
        </w:rPr>
        <w:t xml:space="preserve"> and the gap in the area where students live. Third, the implication of online education inequality has an impact on the learning experience, has an impact on declining learning outcomes for poor students as well as for parents who spend extra for learning facilities (android </w:t>
      </w:r>
      <w:r>
        <w:rPr>
          <w:sz w:val="24"/>
          <w:szCs w:val="24"/>
        </w:rPr>
        <w:t>cellphones</w:t>
      </w:r>
      <w:r>
        <w:rPr>
          <w:sz w:val="24"/>
          <w:szCs w:val="24"/>
        </w:rPr>
        <w:t xml:space="preserve"> and quotas), and finally, on lecturers, namely for creative lecturers and lecturers. Innovative teaching by applying varied learning methods will increase the experience and learning outcomes</w:t>
      </w:r>
      <w:r>
        <w:rPr>
          <w:sz w:val="24"/>
          <w:szCs w:val="24"/>
        </w:rPr>
        <w:t>. Still,</w:t>
      </w:r>
      <w:r>
        <w:rPr>
          <w:sz w:val="24"/>
          <w:szCs w:val="24"/>
        </w:rPr>
        <w:t xml:space="preserve"> for le</w:t>
      </w:r>
      <w:r>
        <w:rPr>
          <w:sz w:val="24"/>
          <w:szCs w:val="24"/>
        </w:rPr>
        <w:t>ss-skilled lecturers</w:t>
      </w:r>
      <w:r>
        <w:rPr>
          <w:sz w:val="24"/>
          <w:szCs w:val="24"/>
        </w:rPr>
        <w:t xml:space="preserve"> in IT, it is the opposite</w:t>
      </w:r>
      <w:r>
        <w:rPr>
          <w:sz w:val="24"/>
          <w:szCs w:val="24"/>
        </w:rPr>
        <w:t>,</w:t>
      </w:r>
      <w:r>
        <w:rPr>
          <w:sz w:val="24"/>
          <w:szCs w:val="24"/>
        </w:rPr>
        <w:t xml:space="preserve"> so that learning is </w:t>
      </w:r>
      <w:r>
        <w:rPr>
          <w:sz w:val="24"/>
          <w:szCs w:val="24"/>
        </w:rPr>
        <w:t>monotonous and unattractive, making students' experiences and learning outcomes decrease. Therefore, according to some opinions, "Inequality in accessing quality education in Indonesia has existed long before the pandemic</w:t>
      </w:r>
      <w:r>
        <w:rPr>
          <w:sz w:val="24"/>
          <w:szCs w:val="24"/>
        </w:rPr>
        <w:t>.”</w:t>
      </w:r>
      <w:r>
        <w:rPr>
          <w:sz w:val="24"/>
          <w:szCs w:val="24"/>
        </w:rPr>
        <w:t xml:space="preserve"> (</w:t>
      </w:r>
      <w:r>
        <w:rPr>
          <w:sz w:val="24"/>
          <w:szCs w:val="24"/>
        </w:rPr>
        <w:t>Lundine</w:t>
      </w:r>
      <w:r>
        <w:rPr>
          <w:sz w:val="24"/>
          <w:szCs w:val="24"/>
        </w:rPr>
        <w:t xml:space="preserve"> et al., 2013; </w:t>
      </w:r>
      <w:r>
        <w:rPr>
          <w:sz w:val="24"/>
          <w:szCs w:val="24"/>
        </w:rPr>
        <w:t>Azzizah</w:t>
      </w:r>
      <w:r>
        <w:rPr>
          <w:sz w:val="24"/>
          <w:szCs w:val="24"/>
        </w:rPr>
        <w:t xml:space="preserve">, 2015; </w:t>
      </w:r>
      <w:r>
        <w:rPr>
          <w:sz w:val="24"/>
          <w:szCs w:val="24"/>
        </w:rPr>
        <w:t>Muttaqin</w:t>
      </w:r>
      <w:r>
        <w:rPr>
          <w:sz w:val="24"/>
          <w:szCs w:val="24"/>
        </w:rPr>
        <w:t xml:space="preserve">, 2018) </w:t>
      </w:r>
    </w:p>
    <w:p>
      <w:pPr>
        <w:pStyle w:val="style0"/>
        <w:spacing w:lineRule="auto" w:line="360"/>
        <w:ind w:firstLine="720"/>
        <w:jc w:val="both"/>
        <w:rPr>
          <w:sz w:val="24"/>
          <w:szCs w:val="24"/>
        </w:rPr>
      </w:pPr>
      <w:r>
        <w:rPr>
          <w:sz w:val="24"/>
          <w:szCs w:val="24"/>
        </w:rPr>
        <w:t xml:space="preserve">This is </w:t>
      </w:r>
      <w:r>
        <w:rPr>
          <w:sz w:val="24"/>
          <w:szCs w:val="24"/>
        </w:rPr>
        <w:t>influenced explicitly</w:t>
      </w:r>
      <w:r>
        <w:rPr>
          <w:sz w:val="24"/>
          <w:szCs w:val="24"/>
        </w:rPr>
        <w:t xml:space="preserve"> by inequality in educational infrastructure, inequality in the economic level of parents, inequality in access to technology, educational background of parents, regional </w:t>
      </w:r>
      <w:r>
        <w:rPr>
          <w:sz w:val="24"/>
          <w:szCs w:val="24"/>
        </w:rPr>
        <w:t>disparities</w:t>
      </w:r>
      <w:r>
        <w:rPr>
          <w:sz w:val="24"/>
          <w:szCs w:val="24"/>
        </w:rPr>
        <w:t xml:space="preserve"> between urban and rural areas, a</w:t>
      </w:r>
      <w:r>
        <w:rPr>
          <w:sz w:val="24"/>
          <w:szCs w:val="24"/>
        </w:rPr>
        <w:t>nd</w:t>
      </w:r>
      <w:r>
        <w:rPr>
          <w:sz w:val="24"/>
          <w:szCs w:val="24"/>
        </w:rPr>
        <w:t xml:space="preserve"> between Java and outside Java. Infrastructure development that is intensively carried out outside Java has not been able to solve the problem of inequality. </w:t>
      </w:r>
      <w:r>
        <w:rPr>
          <w:sz w:val="24"/>
          <w:szCs w:val="24"/>
        </w:rPr>
        <w:t xml:space="preserve">Learning </w:t>
      </w:r>
      <w:r>
        <w:rPr>
          <w:sz w:val="24"/>
          <w:szCs w:val="24"/>
        </w:rPr>
        <w:t>From</w:t>
      </w:r>
      <w:r>
        <w:rPr>
          <w:sz w:val="24"/>
          <w:szCs w:val="24"/>
        </w:rPr>
        <w:t xml:space="preserve"> Home activities made long-standing class inequalities even more complex during the pandemic</w:t>
      </w:r>
      <w:r>
        <w:rPr>
          <w:sz w:val="24"/>
          <w:szCs w:val="24"/>
        </w:rPr>
        <w:t>.</w:t>
      </w:r>
    </w:p>
    <w:p>
      <w:pPr>
        <w:pStyle w:val="style0"/>
        <w:spacing w:lineRule="auto" w:line="360"/>
        <w:ind w:firstLine="720"/>
        <w:jc w:val="both"/>
        <w:rPr>
          <w:sz w:val="24"/>
          <w:szCs w:val="24"/>
        </w:rPr>
      </w:pPr>
      <w:r>
        <w:rPr>
          <w:sz w:val="24"/>
          <w:szCs w:val="24"/>
        </w:rPr>
        <w:t>Students without access to various modern tools that support learning will lose the learning opportunities they should get in normal situations. These disadvantaged students generally study at small private universities, the location is in rural areas, the infrastructure is minimal, and the area is rather difficult to reach by internet signal. It is even worse if the students' homes are in rural areas and even in the mountains and are supported by the conditions of poor parents.</w:t>
      </w:r>
    </w:p>
    <w:p>
      <w:pPr>
        <w:pStyle w:val="style0"/>
        <w:spacing w:lineRule="auto" w:line="360"/>
        <w:ind w:firstLine="720"/>
        <w:jc w:val="both"/>
        <w:rPr>
          <w:sz w:val="24"/>
          <w:szCs w:val="24"/>
        </w:rPr>
      </w:pPr>
      <w:r>
        <w:rPr>
          <w:sz w:val="24"/>
          <w:szCs w:val="24"/>
        </w:rPr>
        <w:t>Meanwhile, on the one hand, students in quality campuses, especially campuses that are large and have complete facilities, are usually located in urban areas, which are easily accessible by the internet network, the location where students live is also on average in urban areas that are easily accessible to the internet, and generally have highly competent lecturers, it will be very easy to get various supporting facilities, such as; "smartphones, internet connection, and learning assistance from parents" so that the experience and learning outcomes of students continue and even increase.</w:t>
      </w:r>
    </w:p>
    <w:p>
      <w:pPr>
        <w:pStyle w:val="style0"/>
        <w:spacing w:lineRule="auto" w:line="360"/>
        <w:ind w:firstLine="720"/>
        <w:jc w:val="both"/>
        <w:rPr>
          <w:sz w:val="24"/>
          <w:szCs w:val="24"/>
        </w:rPr>
      </w:pPr>
      <w:r>
        <w:rPr>
          <w:sz w:val="24"/>
          <w:szCs w:val="24"/>
        </w:rPr>
        <w:t>Class inequalities among students with different socio-economic backgrounds will widen. Students with excess ability usually have qualified facilities, especially if their parents are educated</w:t>
      </w:r>
      <w:r>
        <w:rPr>
          <w:sz w:val="24"/>
          <w:szCs w:val="24"/>
        </w:rPr>
        <w:t>,</w:t>
      </w:r>
      <w:r>
        <w:rPr>
          <w:sz w:val="24"/>
          <w:szCs w:val="24"/>
        </w:rPr>
        <w:t xml:space="preserve"> so they don't neglect their children's learning process. On the other hand, students with low economic abilities face more difficult learning challenges due to the</w:t>
      </w:r>
      <w:r>
        <w:rPr>
          <w:sz w:val="24"/>
          <w:szCs w:val="24"/>
        </w:rPr>
        <w:t>ir parents' lack of facilities and support</w:t>
      </w:r>
      <w:r>
        <w:rPr>
          <w:sz w:val="24"/>
          <w:szCs w:val="24"/>
        </w:rPr>
        <w:t xml:space="preserve">. </w:t>
      </w:r>
      <w:r>
        <w:rPr>
          <w:sz w:val="24"/>
          <w:szCs w:val="24"/>
        </w:rPr>
        <w:t>Suppose lecturers are not prepared to develop teaching that takes into account the diversity of abilities and learning problems among students in their class, such as low-income students. In that case</w:t>
      </w:r>
      <w:r>
        <w:rPr>
          <w:sz w:val="24"/>
          <w:szCs w:val="24"/>
        </w:rPr>
        <w:t xml:space="preserve">, they will be left behind </w:t>
      </w:r>
      <w:r>
        <w:rPr>
          <w:sz w:val="24"/>
          <w:szCs w:val="24"/>
        </w:rPr>
        <w:t>by</w:t>
      </w:r>
      <w:r>
        <w:rPr>
          <w:sz w:val="24"/>
          <w:szCs w:val="24"/>
        </w:rPr>
        <w:t xml:space="preserve"> their peers. Several studies show that "The decline in the learning ability of a student at this time will affect the development of his knowledge in the future</w:t>
      </w:r>
      <w:r>
        <w:rPr>
          <w:sz w:val="24"/>
          <w:szCs w:val="24"/>
        </w:rPr>
        <w:t>,</w:t>
      </w:r>
      <w:r>
        <w:rPr>
          <w:sz w:val="24"/>
          <w:szCs w:val="24"/>
        </w:rPr>
        <w:t xml:space="preserve"> which has the potential to create income inequality when they work"</w:t>
      </w:r>
      <w:r>
        <w:rPr>
          <w:sz w:val="24"/>
          <w:szCs w:val="24"/>
        </w:rPr>
        <w:t xml:space="preserve"> (</w:t>
      </w:r>
      <w:r>
        <w:rPr>
          <w:sz w:val="24"/>
          <w:szCs w:val="24"/>
        </w:rPr>
        <w:t>Andrabi</w:t>
      </w:r>
      <w:r>
        <w:rPr>
          <w:sz w:val="24"/>
          <w:szCs w:val="24"/>
        </w:rPr>
        <w:t xml:space="preserve"> et al., 2020; </w:t>
      </w:r>
      <w:r>
        <w:rPr>
          <w:sz w:val="24"/>
          <w:szCs w:val="24"/>
        </w:rPr>
        <w:t>Kaffenberger</w:t>
      </w:r>
      <w:r>
        <w:rPr>
          <w:sz w:val="24"/>
          <w:szCs w:val="24"/>
        </w:rPr>
        <w:t xml:space="preserve">, 2020; </w:t>
      </w:r>
      <w:r>
        <w:rPr>
          <w:sz w:val="24"/>
          <w:szCs w:val="24"/>
        </w:rPr>
        <w:t>Azevedo</w:t>
      </w:r>
      <w:r>
        <w:rPr>
          <w:sz w:val="24"/>
          <w:szCs w:val="24"/>
        </w:rPr>
        <w:t xml:space="preserve"> et al., 2020). </w:t>
      </w:r>
    </w:p>
    <w:p>
      <w:pPr>
        <w:pStyle w:val="style0"/>
        <w:spacing w:lineRule="auto" w:line="360"/>
        <w:ind w:firstLine="720"/>
        <w:jc w:val="both"/>
        <w:rPr>
          <w:sz w:val="24"/>
          <w:szCs w:val="24"/>
        </w:rPr>
      </w:pPr>
      <w:r>
        <w:rPr>
          <w:sz w:val="24"/>
          <w:szCs w:val="24"/>
        </w:rPr>
        <w:t>The continuity of education cannot be separated from the role of universities as academics. This is in line with the goal of higher education</w:t>
      </w:r>
      <w:r>
        <w:rPr>
          <w:sz w:val="24"/>
          <w:szCs w:val="24"/>
        </w:rPr>
        <w:t>, which produces a generation of workers ready for the industrial world and</w:t>
      </w:r>
      <w:r>
        <w:rPr>
          <w:sz w:val="24"/>
          <w:szCs w:val="24"/>
        </w:rPr>
        <w:t xml:space="preserve"> has good knowledge skills and high morality. </w:t>
      </w:r>
      <w:r>
        <w:rPr>
          <w:sz w:val="24"/>
          <w:szCs w:val="24"/>
        </w:rPr>
        <w:t xml:space="preserve"> </w:t>
      </w:r>
      <w:r>
        <w:rPr>
          <w:sz w:val="24"/>
          <w:szCs w:val="24"/>
        </w:rPr>
        <w:fldChar w:fldCharType="begin"/>
      </w:r>
      <w:r>
        <w:rPr>
          <w:sz w:val="24"/>
          <w:szCs w:val="24"/>
        </w:rPr>
        <w:instrText>ADDIN CSL_CITATION {"citationItems":[{"id":"ITEM-1","itemData":{"DOI":"10.1080/2331186X.2020.1779506","ISSN":"2331186X","abstract":"Industrialization has transformed humans’ perspectives and morality. At the same time, government policies have urged students to become innovators. This study argues that these policies have caused demoralization among Indonesian students in the Revolution 4.0 era. It applies a descriptive qualitative approach, using observation, interviews, and reviews of formal and informal policies available online. It objectively illustrates how universities have transformed in response to government policy. As shown in previous studies, higher education processes have ignored morality as they have industrialized and strived for innovation. Educational institutions are unable to act autonomously, being limited by state interests. At the same time, they have failed to dynamically articulate the meaning of Industry 4.0, focusing solely on products and the workplace. Critique and reflection are necessary to imbue students with civility and integrity. Such a constructive response is necessary to curb the demoralization process that has occurred in the Industry 4.0 era.","author":[{"dropping-particle":"","family":"Pabbajah","given":"Mustaqim","non-dropping-particle":"","parse-names":false,"suffix":""},{"dropping-particle":"","family":"Abdullah","given":"Irwan","non-dropping-particle":"","parse-names":false,"suffix":""},{"dropping-particle":"","family":"Widyanti","given":"Ratri Nurina","non-dropping-particle":"","parse-names":false,"suffix":""},{"dropping-particle":"","family":"Jubba","given":"Hasse","non-dropping-particle":"","parse-names":false,"suffix":""},{"dropping-particle":"","family":"Alim","given":"Nur","non-dropping-particle":"","parse-names":false,"suffix":""}],"container-title":"Cogent Education","id":"ITEM-1","issue":"1","issued":{"date-parts":[["2020","1","1"]]},"publisher":"Taylor and Francis Ltd.","title":"Student demoralization in education:The industrialization of university curriculum in 4.0.Era Indonesia","type":"article-journal","volume":"7"},"uris":["http://www.mendeley.com/documents/?uuid=1a29e417-0ee7-3f54-adda-f5c410bacc5e"]}],"mendeley":{"formattedCitation":"(Pabbajah et al., 2020)","plainTextFormattedCitation":"(Pabbajah et al., 2020)","previouslyFormattedCitation":"(Pabbajah et al., 2020)"},"properties":{"noteIndex":0},"schema":"https://github.com/citation-style-language/schema/raw/master/csl-citation.json"}</w:instrText>
      </w:r>
      <w:r>
        <w:rPr>
          <w:sz w:val="24"/>
          <w:szCs w:val="24"/>
        </w:rPr>
        <w:fldChar w:fldCharType="separate"/>
      </w:r>
      <w:r>
        <w:rPr>
          <w:noProof/>
          <w:sz w:val="24"/>
          <w:szCs w:val="24"/>
        </w:rPr>
        <w:t>(Pabbajah et al., 2020)</w:t>
      </w:r>
      <w:r>
        <w:rPr>
          <w:sz w:val="24"/>
          <w:szCs w:val="24"/>
        </w:rPr>
        <w:fldChar w:fldCharType="end"/>
      </w:r>
      <w:r>
        <w:rPr>
          <w:sz w:val="24"/>
          <w:szCs w:val="24"/>
        </w:rPr>
        <w:t>.</w:t>
      </w:r>
      <w:r>
        <w:t xml:space="preserve"> </w:t>
      </w:r>
      <w:r>
        <w:rPr>
          <w:sz w:val="24"/>
          <w:szCs w:val="24"/>
        </w:rPr>
        <w:t>There have been many studies that look at the problems in today's universities that must adapt to the needs of technology, both for the benefit of students and mastery of technology</w:t>
      </w:r>
      <w:r>
        <w:rPr>
          <w:sz w:val="24"/>
          <w:szCs w:val="24"/>
        </w:rPr>
        <w:t xml:space="preserve">  </w:t>
      </w:r>
      <w:r>
        <w:rPr>
          <w:sz w:val="24"/>
          <w:szCs w:val="24"/>
        </w:rPr>
        <w:fldChar w:fldCharType="begin"/>
      </w:r>
      <w:r>
        <w:rPr>
          <w:sz w:val="24"/>
          <w:szCs w:val="24"/>
        </w:rPr>
        <w:instrText>ADDIN CSL_CITATION {"citationItems":[{"id":"ITEM-1","itemData":{"DOI":"10.3390/SU12093600","ISSN":"20711050","abstract":"Higher education is incorporating Information and Communication Technology (ICT) at a fast rate for different purposes. Scientific papers include within the concept of Technology Enhanced Learning (TEL) the myriad applications of information and communication technology, e-resources, and pedagogical approaches to the development of education. TEL's specific application to higher education is especially relevant for countries under rapid development for providing quick and sustainable access to quality education (UN sustainable development goal 4). This paper presents the research results of an online pedagogical experience in collaborative academic research for analyzing good practice in TEL-supported higher education development. The results are obtained through a pilot implementation providing curated data on TEL competency's development of faculty skills and analysis of developing sustainable higher education degrees through TEL cooperation, for capacity building. Given the increased volume and complexity of the knowledge to be delivered, and the exponential growth of the need for skilled workers in emerging economies, online training is the most effective way of delivering a sustainable higher education. The results of the PETRA Erasmus+ capacity-building project provides evidence of a successful implementation of a TEL-supported methodology for collaborative faculty development focused on future online degrees built collaboratively and applied locally.","author":[{"dropping-particle":"","family":"Orozco-Messana","given":"Javier","non-dropping-particle":"","parse-names":false,"suffix":""},{"dropping-particle":"","family":"Martínez-Rubio","given":"Juan Miguel","non-dropping-particle":"","parse-names":false,"suffix":""},{"dropping-particle":"","family":"Gonzálvez-Pons","given":"Ana Maria","non-dropping-particle":"","parse-names":false,"suffix":""}],"container-title":"Sustainability (Switzerland)","id":"ITEM-1","issued":{"date-parts":[["2020"]]},"title":"Sustainable higher education development through technology enhanced learning","type":"article-journal"},"uris":["http://www.mendeley.com/documents/?uuid=d438256e-9167-4e6a-8868-ab9387f5f753","http://www.mendeley.com/documents/?uuid=e322d7b7-96f0-44ee-937d-3563421e4e73"]},{"id":"ITEM-2","itemData":{"DOI":"10.1016/j.chb.2021.106794","ISSN":"07475632","abstract":"We propose a model of contextual facilitators for learning activities involving technology (in short: C</w:instrText>
      </w:r>
      <w:r>
        <w:rPr>
          <w:rFonts w:ascii="Segoe UI Symbol" w:cs="Segoe UI Symbol" w:hAnsi="Segoe UI Symbol"/>
          <w:sz w:val="24"/>
          <w:szCs w:val="24"/>
        </w:rPr>
        <w:instrText>♭</w:instrText>
      </w:r>
      <w:r>
        <w:rPr>
          <w:sz w:val="24"/>
          <w:szCs w:val="24"/>
        </w:rPr>
        <w:instrText>-model) for both on-site and distance learning environments in higher education. The C</w:instrText>
      </w:r>
      <w:r>
        <w:rPr>
          <w:rFonts w:ascii="Segoe UI Symbol" w:cs="Segoe UI Symbol" w:hAnsi="Segoe UI Symbol"/>
          <w:sz w:val="24"/>
          <w:szCs w:val="24"/>
        </w:rPr>
        <w:instrText>♭</w:instrText>
      </w:r>
      <w:r>
        <w:rPr>
          <w:sz w:val="24"/>
          <w:szCs w:val="24"/>
        </w:rPr>
        <w:instrText>-model aims at systematizing research on digital teaching and learning and offers a roadmap for future research to understand the complex dynamic of factors that lead to successful digital teaching and learning in higher education via suitable learning activities. First, we introduce students' learning outcomes as central benchmarks of teaching and learning with digital technologies in higher education. Second, we want to focus on a major proximal factor for students' learning outcomes and thus apply a learning activities perspective. Learning activities involving digital technologies reflect cognitive processes of students when using digital technologies and are causally connected with students' learning outcomes. Third, we highlight several contextual facilitators for learning activities involving technology in the C</w:instrText>
      </w:r>
      <w:r>
        <w:rPr>
          <w:rFonts w:ascii="Segoe UI Symbol" w:cs="Segoe UI Symbol" w:hAnsi="Segoe UI Symbol"/>
          <w:sz w:val="24"/>
          <w:szCs w:val="24"/>
        </w:rPr>
        <w:instrText>♭</w:instrText>
      </w:r>
      <w:r>
        <w:rPr>
          <w:sz w:val="24"/>
          <w:szCs w:val="24"/>
        </w:rPr>
        <w:instrText>-model: learning opportunities that result from higher education teachers' instructional use of technology and students' self-arranged learning opportunities involving digital technologies. Apart from these proximal facilitators, we include more distal factors, namely, higher education teachers' knowledge, skills, and attitudes toward digital technology; higher education teachers' qualification; students' and teachers’ digital technology equipment; and institutional, organizational, and administrative factors.","author":[{"dropping-particle":"","family":"Sailer","given":"Michael","non-dropping-particle":"","parse-names":false,"suffix":""},{"dropping-particle":"","family":"Schultz-Pernice","given":"Florian","non-dropping-particle":"","parse-names":false,"suffix":""},{"dropping-particle":"","family":"Fischer","given":"Frank","non-dropping-particle":"","parse-names":false,"suffix":""}],"container-title":"Computers in Human Behavior","id":"ITEM-2","issued":{"date-parts":[["2021"]]},"title":"Contextual facilitators for learning activities involving technology in higher education: The C</w:instrText>
      </w:r>
      <w:r>
        <w:rPr>
          <w:rFonts w:ascii="Segoe UI Symbol" w:cs="Segoe UI Symbol" w:hAnsi="Segoe UI Symbol"/>
          <w:sz w:val="24"/>
          <w:szCs w:val="24"/>
        </w:rPr>
        <w:instrText>♭</w:instrText>
      </w:r>
      <w:r>
        <w:rPr>
          <w:sz w:val="24"/>
          <w:szCs w:val="24"/>
        </w:rPr>
        <w:instrText>-model","type":"article-journal"},"uris":["http://www.mendeley.com/documents/?uuid=2c4db729-a0e7-4525-8127-4a6b6ad4e564","http://www.mendeley.com/documents/?uuid=68470013-45ff-4482-b5b8-d0f8819726cc"]},{"id":"ITEM-3","itemData":{"DOI":"10.26817/16925777.711","ISSN":"1692-5777","abstract":"The formation of human capital is key to countries’ social, cultural and economic development. The current literature pays considerable attention to the ever-increasing proliferation of technology in the careers of college and graduate school. While the presence of educational technology in higher education offers multiple benefits, its implementation also presents challenges. The literature has considered multiple tools for improving learning processes. The results of such tools vary and are difficult to measure in terms of quality. In this document, we analyze the issues surrounding educational technology in higher education.","author":[{"dropping-particle":"","family":"Cabaleiro-Cerviño","given":"Goretti","non-dropping-particle":"","parse-names":false,"suffix":""},{"dropping-particle":"","family":"Vera","given":"Carolina","non-dropping-particle":"","parse-names":false,"suffix":""}],"container-title":"GIST – Education and Learning Research Journal","id":"ITEM-3","issued":{"date-parts":[["2020"]]},"title":"The Impact of Educational Technologies in Higher Education","type":"article-journal"},"uris":["http://www.mendeley.com/documents/?uuid=8af4a384-9732-4e51-b131-a366de5499ef","http://www.mendeley.com/documents/?uuid=63b31b2e-c8f7-4c74-8dc5-a14fe0b1f15a"]}],"mendeley":{"formattedCitation":"(Cabaleiro-Cerviño &amp; Vera, 2020; Orozco-Messana et al., 2020; Sailer et al., 2021)","plainTextFormattedCitation":"(Cabaleiro-Cerviño &amp; Vera, 2020; Orozco-Messana et al., 2020; Sailer et al., 2021)","previouslyFormattedCitation":"(Cabaleiro-Cerviño &amp; Vera, 2020; Orozco-Messana et al., 2020; Sailer et al., 2021)"},"properties":{"noteIndex":0},"schema":"https://github.com/citation-style-language/schema/raw/master/csl-citation.json"}</w:instrText>
      </w:r>
      <w:r>
        <w:rPr>
          <w:sz w:val="24"/>
          <w:szCs w:val="24"/>
        </w:rPr>
        <w:fldChar w:fldCharType="separate"/>
      </w:r>
      <w:r>
        <w:rPr>
          <w:noProof/>
          <w:sz w:val="24"/>
          <w:szCs w:val="24"/>
        </w:rPr>
        <w:t>(Cabaleiro-Cerviño &amp; Vera, 2020; Orozco-Messana et al., 2020; Sailer et al., 2021)</w:t>
      </w:r>
      <w:r>
        <w:rPr>
          <w:sz w:val="24"/>
          <w:szCs w:val="24"/>
        </w:rPr>
        <w:fldChar w:fldCharType="end"/>
      </w:r>
      <w:r>
        <w:rPr>
          <w:sz w:val="24"/>
          <w:szCs w:val="24"/>
        </w:rPr>
        <w:t xml:space="preserve">, </w:t>
      </w:r>
      <w:r>
        <w:rPr>
          <w:sz w:val="24"/>
          <w:szCs w:val="24"/>
        </w:rPr>
        <w:t xml:space="preserve">as well as for the </w:t>
      </w:r>
      <w:r>
        <w:rPr>
          <w:sz w:val="24"/>
          <w:szCs w:val="24"/>
        </w:rPr>
        <w:t>fulfillment</w:t>
      </w:r>
      <w:r>
        <w:rPr>
          <w:sz w:val="24"/>
          <w:szCs w:val="24"/>
        </w:rPr>
        <w:t xml:space="preserve"> of the economic sector </w:t>
      </w:r>
      <w:r>
        <w:rPr>
          <w:sz w:val="24"/>
          <w:szCs w:val="24"/>
        </w:rPr>
        <w:fldChar w:fldCharType="begin"/>
      </w:r>
      <w:r>
        <w:rPr>
          <w:sz w:val="24"/>
          <w:szCs w:val="24"/>
        </w:rPr>
        <w:instrText>ADDIN CSL_CITATION {"citationItems":[{"id":"ITEM-1","itemData":{"DOI":"10.22094/JOIE.2020.677844","ISSN":"24233935","abstract":"To determine the directions of managing the intellectual capital of a university, the authors studied the impact of the knowledge economy on the education sector, analysed the most prestigious international rankings of universities and their criteria and methodologies, assessed the current state and prospects of Ukrainian universities in global rankings. The study of theoretical developments has proven the importance of the intellectual capital of the university and its ability to increase the competitive advantages of universities. Authors proposed the mechanism of institutions of higher education intellectual capital management in the knowledge economy, which provides a synergistic effect of all components of intellectual capital and will increase the competitive advantages of Ukrainian universities.","author":[{"dropping-particle":"","family":"Kichuk","given":"Yaroslav","non-dropping-particle":"","parse-names":false,"suffix":""},{"dropping-particle":"","family":"Kunchenko-Kharchenko","given":"Valentyna","non-dropping-particle":"","parse-names":false,"suffix":""},{"dropping-particle":"","family":"Hrushchynska","given":"Nataliia","non-dropping-particle":"","parse-names":false,"suffix":""},{"dropping-particle":"","family":"Zhukova","given":"Yuliia","non-dropping-particle":"","parse-names":false,"suffix":""},{"dropping-particle":"","family":"Yarish","given":"Olena","non-dropping-particle":"","parse-names":false,"suffix":""}],"container-title":"Journal of Optimization in Industrial Engineering","id":"ITEM-1","issued":{"date-parts":[["2021"]]},"title":"Intellectual capital of institutions of higher education in the knowledge economy","type":"article-journal"},"uris":["http://www.mendeley.com/documents/?uuid=92bd6313-bb23-43bd-b173-667e15d0cc44","http://www.mendeley.com/documents/?uuid=161e6cdd-52b5-4463-bdd5-7f1120620cdb"]},{"id":"ITEM-2","itemData":{"DOI":"10.9770/jesi.2019.7.2(43)","ISSN":"23450282","abstract":"The scientific discussion regarding the processes of the origin, formation, sustainable development, and institutional change of economic institutions in transition economies took place almost simultaneously with the transition of these economies from the rails of the administrative-command platform to market forms of economic activity. Since then, it has been actively, continuously and quite sharply raised and discussed in a plethora of scientific publications on the problems of theory and practice of social and economic development using the examples of several countries. Despite the background and history of studying these processes that go almost thirty year back, economic science has not developed a common understanding and generally accepted system of interpretation and interpretation of this relevant phenomenon. This paper provides an analysis of the institutional building and sustainable development of higher education in transition economies. We use the examples of former socialist countries to show how the reforms of higher education intended to increase its competitiveness and international prestige, often backfired and led to institutional issues.","author":[{"dropping-particle":"","family":"Volchik","given":"Vyacheslav","non-dropping-particle":"","parse-names":false,"suffix":""},{"dropping-particle":"","family":"Zhuk","given":"Alexander","non-dropping-particle":"","parse-names":false,"suffix":""},{"dropping-particle":"","family":"Oganesyan","given":"Anna","non-dropping-particle":"","parse-names":false,"suffix":""},{"dropping-particle":"","family":"Abrhám","given":"Josef","non-dropping-particle":"","parse-names":false,"suffix":""}],"container-title":"Entrepreneurship and Sustainability Issues","id":"ITEM-2","issued":{"date-parts":[["2019"]]},"title":"Analysis of the institutional building and sustainable development of higher education in transition economies","type":"article-journal"},"uris":["http://www.mendeley.com/documents/?uuid=cbff6c58-edaa-4c42-892f-2c0c5e351d6e","http://www.mendeley.com/documents/?uuid=c3aaff88-9eab-4f3f-ae38-62e5740fced7"]}],"mendeley":{"formattedCitation":"(Kichuk et al., 2021; Volchik et al., 2019)","plainTextFormattedCitation":"(Kichuk et al., 2021; Volchik et al., 2019)","previouslyFormattedCitation":"(Kichuk et al., 2021; Volchik et al., 2019)"},"properties":{"noteIndex":0},"schema":"https://github.com/citation-style-language/schema/raw/master/csl-citation.json"}</w:instrText>
      </w:r>
      <w:r>
        <w:rPr>
          <w:sz w:val="24"/>
          <w:szCs w:val="24"/>
        </w:rPr>
        <w:fldChar w:fldCharType="separate"/>
      </w:r>
      <w:r>
        <w:rPr>
          <w:noProof/>
          <w:sz w:val="24"/>
          <w:szCs w:val="24"/>
        </w:rPr>
        <w:t>(Kichuk et al., 2021; Volchik et al., 2019)</w:t>
      </w:r>
      <w:r>
        <w:rPr>
          <w:sz w:val="24"/>
          <w:szCs w:val="24"/>
        </w:rPr>
        <w:fldChar w:fldCharType="end"/>
      </w:r>
      <w:r>
        <w:rPr>
          <w:sz w:val="24"/>
          <w:szCs w:val="24"/>
        </w:rPr>
        <w:t xml:space="preserve">, </w:t>
      </w:r>
      <w:r>
        <w:rPr>
          <w:sz w:val="24"/>
          <w:szCs w:val="24"/>
        </w:rPr>
        <w:t xml:space="preserve">and digitalization in learning </w:t>
      </w:r>
      <w:r>
        <w:rPr>
          <w:sz w:val="24"/>
          <w:szCs w:val="24"/>
        </w:rPr>
        <w:fldChar w:fldCharType="begin"/>
      </w:r>
      <w:r>
        <w:rPr>
          <w:sz w:val="24"/>
          <w:szCs w:val="24"/>
        </w:rPr>
        <w:instrText>ADDIN CSL_CITATION {"citationItems":[{"id":"ITEM-1","itemData":{"ISSN":"22551514","abstract":"The innovation of higher education ensures that content and technologies are sustainable and consistent with the design of digital education. The digital economy in higher education links the economy based on advances and digital applications with the purpose of the university teaching and learning process. In this order, the purpose of management is to communicate a series of instructions that improve the education system with a digital economy that meets the trends of its development. In the last five years, more than half of the contributions have been made regarding the involvement of the digital economy in higher education. This circumstance derives mainly from advances in research as a result of the development of technologies. This work aims to analyze trends in higher education as a result of the economics of digital processes and thus define the issues that give rise to the greatest interest in this field of research. Thus, in order to recognize new disciplines and the evolution of this area of interest, the networks have been identified by co-authorship of the main authors, institutions and countries, and the network of keywords by co-occurrence, through the application of the bibliometric method and visualization techniques.","author":[{"dropping-particle":"","family":"Abad-Segura","given":"Emilio","non-dropping-particle":"","parse-names":false,"suffix":""},{"dropping-particle":"","family":"González-Zamar","given":"Mariana Daniela","non-dropping-particle":"","parse-names":false,"suffix":""},{"dropping-particle":"","family":"la Rosa","given":"Antonio Luque","non-dropping-particle":"de","parse-names":false,"suffix":""},{"dropping-particle":"","family":"Gallardo-Pérez","given":"Julia","non-dropping-particle":"","parse-names":false,"suffix":""}],"container-title":"Campus Virtuales","id":"ITEM-1","issued":{"date-parts":[["2020"]]},"title":"Management of the digital economy in higher education: Trends and future perspectives","type":"article-journal"},"uris":["http://www.mendeley.com/documents/?uuid=f9129b60-b4e9-425e-9f62-fdcc084b8c06","http://www.mendeley.com/documents/?uuid=4f0db27f-05ba-49d5-b549-7d48cb5c53cf"]},{"id":"ITEM-2","itemData":{"DOI":"10.20896/SACI.V7I4.697","ISSN":"20528396","abstract":"The purpose of this article is to analyse the digital economy in higher educational institutions of the EU, the USA and the Russian Federation. The study examines topical issues and directions of higher education transformation, in the context of creating a digital learning environment. A learning process model is designed for a higher educational institution. The model will help to obtain competencies that meet the requirements of a digital economy. There is a need to adapt the education system to changes in the labour market. The activities of educational institutions and public authorities should be coordinated to prepare the optimal number of specialists that will be in demand. Corporate and university education should be integrated. Higher educational institutions should focus on increasing digital and business literacy in students, continuous digital training and retraining of teachers. The research developments are universal in nature and might be applied both as part of managing IT-learning processes of individual educational institutions and in national (regional) practices.","author":[{"dropping-particle":"","family":"Klochkova","given":"Elena","non-dropping-particle":"","parse-names":false,"suffix":""},{"dropping-particle":"","family":"Serkina","given":"Yana","non-dropping-particle":"","parse-names":false,"suffix":""},{"dropping-particle":"","family":"Prasolov","given":"Valeriy","non-dropping-particle":"","parse-names":false,"suffix":""},{"dropping-particle":"","family":"Movchun","given":"Vasily","non-dropping-particle":"","parse-names":false,"suffix":""}],"container-title":"Space and Culture, India","id":"ITEM-2","issued":{"date-parts":[["2020"]]},"title":"The digitalisation of the economy and higher education","type":"article-journal"},"uris":["http://www.mendeley.com/documents/?uuid=4f962c87-e917-475d-b8d9-dd93dc22fe0a","http://www.mendeley.com/documents/?uuid=3a8a0ca2-83c9-4992-9c04-c2f099bdb2fc"]}],"mendeley":{"formattedCitation":"(Abad-Segura et al., 2020; Klochkova et al., 2020)","plainTextFormattedCitation":"(Abad-Segura et al., 2020; Klochkova et al., 2020)","previouslyFormattedCitation":"(Abad-Segura et al., 2020; Klochkova et al., 2020)"},"properties":{"noteIndex":0},"schema":"https://github.com/citation-style-language/schema/raw/master/csl-citation.json"}</w:instrText>
      </w:r>
      <w:r>
        <w:rPr>
          <w:sz w:val="24"/>
          <w:szCs w:val="24"/>
        </w:rPr>
        <w:fldChar w:fldCharType="separate"/>
      </w:r>
      <w:r>
        <w:rPr>
          <w:noProof/>
          <w:sz w:val="24"/>
          <w:szCs w:val="24"/>
        </w:rPr>
        <w:t>(Abad-Segura et al., 2020; Klochkova et al., 2020)</w:t>
      </w:r>
      <w:r>
        <w:rPr>
          <w:sz w:val="24"/>
          <w:szCs w:val="24"/>
        </w:rPr>
        <w:fldChar w:fldCharType="end"/>
      </w:r>
      <w:r>
        <w:rPr>
          <w:sz w:val="24"/>
          <w:szCs w:val="24"/>
        </w:rPr>
        <w:t xml:space="preserve">. </w:t>
      </w:r>
      <w:r>
        <w:rPr>
          <w:sz w:val="24"/>
          <w:szCs w:val="24"/>
        </w:rPr>
        <w:t xml:space="preserve">Meanwhile, this paper focuses more on </w:t>
      </w:r>
      <w:r>
        <w:rPr>
          <w:sz w:val="24"/>
          <w:szCs w:val="24"/>
        </w:rPr>
        <w:t>studying</w:t>
      </w:r>
      <w:r>
        <w:rPr>
          <w:sz w:val="24"/>
          <w:szCs w:val="24"/>
        </w:rPr>
        <w:t xml:space="preserve"> class inequality at universities in online education during the Covid-19 pandemic</w:t>
      </w:r>
      <w:r>
        <w:rPr>
          <w:sz w:val="24"/>
          <w:szCs w:val="24"/>
        </w:rPr>
        <w:t>. T</w:t>
      </w:r>
      <w:r>
        <w:rPr>
          <w:sz w:val="24"/>
          <w:szCs w:val="24"/>
        </w:rPr>
        <w:t xml:space="preserve">his is due to the first learning tools (android </w:t>
      </w:r>
      <w:r>
        <w:rPr>
          <w:sz w:val="24"/>
          <w:szCs w:val="24"/>
        </w:rPr>
        <w:t>cellphones</w:t>
      </w:r>
      <w:r>
        <w:rPr>
          <w:sz w:val="24"/>
          <w:szCs w:val="24"/>
        </w:rPr>
        <w:t xml:space="preserve">, laptops), quotas, </w:t>
      </w:r>
      <w:r>
        <w:rPr>
          <w:sz w:val="24"/>
          <w:szCs w:val="24"/>
        </w:rPr>
        <w:t>the</w:t>
      </w:r>
      <w:r>
        <w:rPr>
          <w:sz w:val="24"/>
          <w:szCs w:val="24"/>
        </w:rPr>
        <w:t xml:space="preserve"> area where students live</w:t>
      </w:r>
      <w:r>
        <w:rPr>
          <w:sz w:val="24"/>
          <w:szCs w:val="24"/>
        </w:rPr>
        <w:t>. T</w:t>
      </w:r>
      <w:r>
        <w:rPr>
          <w:sz w:val="24"/>
          <w:szCs w:val="24"/>
        </w:rPr>
        <w:t xml:space="preserve">he two factors that influence it include economic factors. </w:t>
      </w:r>
      <w:r>
        <w:rPr>
          <w:sz w:val="24"/>
          <w:szCs w:val="24"/>
        </w:rPr>
        <w:t>P</w:t>
      </w:r>
      <w:r>
        <w:rPr>
          <w:sz w:val="24"/>
          <w:szCs w:val="24"/>
        </w:rPr>
        <w:t xml:space="preserve">arents, the education factor of the </w:t>
      </w:r>
      <w:r>
        <w:rPr>
          <w:sz w:val="24"/>
          <w:szCs w:val="24"/>
        </w:rPr>
        <w:t>parents</w:t>
      </w:r>
      <w:r>
        <w:rPr>
          <w:sz w:val="24"/>
          <w:szCs w:val="24"/>
        </w:rPr>
        <w:t>,</w:t>
      </w:r>
      <w:r>
        <w:rPr>
          <w:sz w:val="24"/>
          <w:szCs w:val="24"/>
        </w:rPr>
        <w:t xml:space="preserve"> and the factor of the area where the third student lives </w:t>
      </w:r>
      <w:r>
        <w:rPr>
          <w:sz w:val="24"/>
          <w:szCs w:val="24"/>
        </w:rPr>
        <w:t>impact</w:t>
      </w:r>
      <w:r>
        <w:rPr>
          <w:sz w:val="24"/>
          <w:szCs w:val="24"/>
        </w:rPr>
        <w:t xml:space="preserve"> the learning experience learning outcomes and ha</w:t>
      </w:r>
      <w:r>
        <w:rPr>
          <w:sz w:val="24"/>
          <w:szCs w:val="24"/>
        </w:rPr>
        <w:t>ve</w:t>
      </w:r>
      <w:r>
        <w:rPr>
          <w:sz w:val="24"/>
          <w:szCs w:val="24"/>
        </w:rPr>
        <w:t xml:space="preserve"> an impact on parents and lecturers. The </w:t>
      </w:r>
      <w:r>
        <w:rPr>
          <w:sz w:val="24"/>
          <w:szCs w:val="24"/>
        </w:rPr>
        <w:t>Das</w:t>
      </w:r>
      <w:r>
        <w:rPr>
          <w:sz w:val="24"/>
          <w:szCs w:val="24"/>
        </w:rPr>
        <w:t xml:space="preserve"> theory shows that educational institutions have not yet understood the ideology of </w:t>
      </w:r>
      <w:r>
        <w:rPr>
          <w:sz w:val="24"/>
          <w:szCs w:val="24"/>
        </w:rPr>
        <w:t xml:space="preserve">technology </w:t>
      </w:r>
      <w:r>
        <w:rPr>
          <w:sz w:val="24"/>
          <w:szCs w:val="24"/>
        </w:rPr>
        <w:t xml:space="preserve"> (</w:t>
      </w:r>
      <w:r>
        <w:rPr>
          <w:sz w:val="24"/>
          <w:szCs w:val="24"/>
        </w:rPr>
        <w:t xml:space="preserve">Das, 2021). </w:t>
      </w:r>
    </w:p>
    <w:p>
      <w:pPr>
        <w:pStyle w:val="style0"/>
        <w:spacing w:lineRule="auto" w:line="360"/>
        <w:ind w:firstLine="720"/>
        <w:jc w:val="both"/>
        <w:rPr>
          <w:sz w:val="24"/>
          <w:szCs w:val="24"/>
        </w:rPr>
      </w:pPr>
      <w:r>
        <w:rPr>
          <w:sz w:val="24"/>
          <w:szCs w:val="24"/>
        </w:rPr>
        <w:t xml:space="preserve">This condition provides an opportunity for universities to improve </w:t>
      </w:r>
      <w:r>
        <w:rPr>
          <w:sz w:val="24"/>
          <w:szCs w:val="24"/>
        </w:rPr>
        <w:t>to</w:t>
      </w:r>
      <w:r>
        <w:rPr>
          <w:sz w:val="24"/>
          <w:szCs w:val="24"/>
        </w:rPr>
        <w:t xml:space="preserve"> maintain their existence during the pandemic. Th</w:t>
      </w:r>
      <w:r>
        <w:rPr>
          <w:sz w:val="24"/>
          <w:szCs w:val="24"/>
        </w:rPr>
        <w:t>ree aspects</w:t>
      </w:r>
      <w:r>
        <w:rPr>
          <w:sz w:val="24"/>
          <w:szCs w:val="24"/>
        </w:rPr>
        <w:t xml:space="preserve"> need to be considered by universities to address class inequality in online education. First, learning equipment assistance is needed for underprivileged students</w:t>
      </w:r>
      <w:r>
        <w:rPr>
          <w:sz w:val="24"/>
          <w:szCs w:val="24"/>
        </w:rPr>
        <w:t>,</w:t>
      </w:r>
      <w:r>
        <w:rPr>
          <w:sz w:val="24"/>
          <w:szCs w:val="24"/>
        </w:rPr>
        <w:t xml:space="preserve"> such as internet quotas. </w:t>
      </w:r>
      <w:r>
        <w:rPr>
          <w:sz w:val="24"/>
          <w:szCs w:val="24"/>
        </w:rPr>
        <w:t>Universities that are still being developed</w:t>
      </w:r>
      <w:r>
        <w:rPr>
          <w:sz w:val="24"/>
          <w:szCs w:val="24"/>
        </w:rPr>
        <w:t xml:space="preserve"> should be equipped with infrastructure, especially learning media, such as android </w:t>
      </w:r>
      <w:r>
        <w:rPr>
          <w:sz w:val="24"/>
          <w:szCs w:val="24"/>
        </w:rPr>
        <w:t>cellphones</w:t>
      </w:r>
      <w:r>
        <w:rPr>
          <w:sz w:val="24"/>
          <w:szCs w:val="24"/>
        </w:rPr>
        <w:t xml:space="preserve"> and laptops</w:t>
      </w:r>
      <w:r>
        <w:rPr>
          <w:sz w:val="24"/>
          <w:szCs w:val="24"/>
        </w:rPr>
        <w:t>. I</w:t>
      </w:r>
      <w:r>
        <w:rPr>
          <w:sz w:val="24"/>
          <w:szCs w:val="24"/>
        </w:rPr>
        <w:t xml:space="preserve">t is also necessary to add WIFI power with a larger capacity. Second, it is necessary to add infrastructure funds, especially to help purchase quotas, help with scholarships and help buy android phones for students who can't afford </w:t>
      </w:r>
      <w:r>
        <w:rPr>
          <w:sz w:val="24"/>
          <w:szCs w:val="24"/>
        </w:rPr>
        <w:t>them</w:t>
      </w:r>
      <w:r>
        <w:rPr>
          <w:sz w:val="24"/>
          <w:szCs w:val="24"/>
        </w:rPr>
        <w:t xml:space="preserve">. Third, this private university requires cooperation with foundations and </w:t>
      </w:r>
      <w:r>
        <w:rPr>
          <w:sz w:val="24"/>
          <w:szCs w:val="24"/>
        </w:rPr>
        <w:t xml:space="preserve">stakeholders to </w:t>
      </w:r>
      <w:r>
        <w:rPr>
          <w:sz w:val="24"/>
          <w:szCs w:val="24"/>
        </w:rPr>
        <w:t>fulfill</w:t>
      </w:r>
      <w:r>
        <w:rPr>
          <w:sz w:val="24"/>
          <w:szCs w:val="24"/>
        </w:rPr>
        <w:t xml:space="preserve"> their institutional infrastructure to improve the quality of their inputs, processes</w:t>
      </w:r>
      <w:r>
        <w:rPr>
          <w:sz w:val="24"/>
          <w:szCs w:val="24"/>
        </w:rPr>
        <w:t>,</w:t>
      </w:r>
      <w:r>
        <w:rPr>
          <w:sz w:val="24"/>
          <w:szCs w:val="24"/>
        </w:rPr>
        <w:t xml:space="preserve"> and outputs.</w:t>
      </w:r>
    </w:p>
    <w:p>
      <w:pPr>
        <w:pStyle w:val="style0"/>
        <w:spacing w:lineRule="auto" w:line="360"/>
        <w:jc w:val="both"/>
        <w:rPr>
          <w:b/>
          <w:bCs/>
          <w:sz w:val="24"/>
          <w:szCs w:val="24"/>
        </w:rPr>
      </w:pPr>
      <w:r>
        <w:rPr>
          <w:b/>
          <w:bCs/>
          <w:sz w:val="24"/>
          <w:szCs w:val="24"/>
        </w:rPr>
        <w:t>6. CONCLUSION</w:t>
      </w:r>
    </w:p>
    <w:p>
      <w:pPr>
        <w:pStyle w:val="style0"/>
        <w:spacing w:lineRule="auto" w:line="360"/>
        <w:ind w:firstLine="720"/>
        <w:jc w:val="both"/>
        <w:rPr>
          <w:sz w:val="24"/>
          <w:szCs w:val="24"/>
        </w:rPr>
      </w:pPr>
      <w:r>
        <w:rPr>
          <w:sz w:val="24"/>
          <w:szCs w:val="24"/>
        </w:rPr>
        <w:t xml:space="preserve">Inequality in online education classes at universities is caused by limited technology, internet quotas, uneven </w:t>
      </w:r>
      <w:r>
        <w:rPr>
          <w:sz w:val="24"/>
          <w:szCs w:val="24"/>
        </w:rPr>
        <w:t>signaling</w:t>
      </w:r>
      <w:r>
        <w:rPr>
          <w:sz w:val="24"/>
          <w:szCs w:val="24"/>
        </w:rPr>
        <w:t xml:space="preserve">, </w:t>
      </w:r>
      <w:r>
        <w:rPr>
          <w:sz w:val="24"/>
          <w:szCs w:val="24"/>
        </w:rPr>
        <w:t>parents' economy</w:t>
      </w:r>
      <w:r>
        <w:rPr>
          <w:sz w:val="24"/>
          <w:szCs w:val="24"/>
        </w:rPr>
        <w:t xml:space="preserve">, parents' educational background, and the area where students live. This has implications for declining student learning outcomes. Unfortunately, this shift is only seen as a shift in media from conventional to digital. This phenomenon should be seen as </w:t>
      </w:r>
      <w:r>
        <w:rPr>
          <w:sz w:val="24"/>
          <w:szCs w:val="24"/>
        </w:rPr>
        <w:t>changing</w:t>
      </w:r>
      <w:r>
        <w:rPr>
          <w:sz w:val="24"/>
          <w:szCs w:val="24"/>
        </w:rPr>
        <w:t xml:space="preserve"> the learning </w:t>
      </w:r>
      <w:r>
        <w:rPr>
          <w:sz w:val="24"/>
          <w:szCs w:val="24"/>
        </w:rPr>
        <w:t>tradition from a "dependent" traditional to an "independent" learning tradition.</w:t>
      </w:r>
    </w:p>
    <w:p>
      <w:pPr>
        <w:pStyle w:val="style0"/>
        <w:spacing w:lineRule="auto" w:line="360"/>
        <w:ind w:firstLine="720"/>
        <w:jc w:val="both"/>
        <w:rPr>
          <w:sz w:val="24"/>
          <w:szCs w:val="24"/>
        </w:rPr>
      </w:pPr>
      <w:r>
        <w:rPr>
          <w:sz w:val="24"/>
          <w:szCs w:val="24"/>
        </w:rPr>
        <w:t xml:space="preserve">Studies </w:t>
      </w:r>
      <w:r>
        <w:rPr>
          <w:sz w:val="24"/>
          <w:szCs w:val="24"/>
        </w:rPr>
        <w:t>from</w:t>
      </w:r>
      <w:r>
        <w:rPr>
          <w:sz w:val="24"/>
          <w:szCs w:val="24"/>
        </w:rPr>
        <w:t xml:space="preserve"> online education class inequality show that “the shift in learning from home starts from accessing materials from lecturers; access learning videos; accessing tasks from Google</w:t>
      </w:r>
      <w:r>
        <w:rPr>
          <w:sz w:val="24"/>
          <w:szCs w:val="24"/>
        </w:rPr>
        <w:t>.”</w:t>
      </w:r>
      <w:r>
        <w:rPr>
          <w:sz w:val="24"/>
          <w:szCs w:val="24"/>
        </w:rPr>
        <w:t xml:space="preserve"> This allows this study to look at class inequality in online education more openly. This study </w:t>
      </w:r>
      <w:r>
        <w:rPr>
          <w:sz w:val="24"/>
          <w:szCs w:val="24"/>
        </w:rPr>
        <w:t>focuses not only on technology but also on a more fundamental issue, namely the shift in educational traditions</w:t>
      </w:r>
      <w:r>
        <w:rPr>
          <w:sz w:val="24"/>
          <w:szCs w:val="24"/>
        </w:rPr>
        <w:t xml:space="preserve"> built during the Covid-19 pandemic. The introduction of technology that has been going on since the 1980s has resulted in resistance which causes technology to not become best practice in education. Covid-19 has provided historical momentum apart from the acceptance of technology in online education</w:t>
      </w:r>
      <w:r>
        <w:rPr>
          <w:sz w:val="24"/>
          <w:szCs w:val="24"/>
        </w:rPr>
        <w:t>. I</w:t>
      </w:r>
      <w:r>
        <w:rPr>
          <w:sz w:val="24"/>
          <w:szCs w:val="24"/>
        </w:rPr>
        <w:t xml:space="preserve">t has also enabled the birth of a new generation that is more independent and has an open and multicultural </w:t>
      </w:r>
      <w:r>
        <w:rPr>
          <w:sz w:val="24"/>
          <w:szCs w:val="24"/>
        </w:rPr>
        <w:t>knowledge styl</w:t>
      </w:r>
      <w:r>
        <w:rPr>
          <w:sz w:val="24"/>
          <w:szCs w:val="24"/>
        </w:rPr>
        <w:t>e.</w:t>
      </w:r>
    </w:p>
    <w:p>
      <w:pPr>
        <w:pStyle w:val="style0"/>
        <w:spacing w:lineRule="auto" w:line="360"/>
        <w:ind w:firstLine="720"/>
        <w:jc w:val="both"/>
        <w:rPr>
          <w:sz w:val="24"/>
          <w:szCs w:val="24"/>
        </w:rPr>
      </w:pPr>
      <w:r>
        <w:rPr>
          <w:sz w:val="24"/>
          <w:szCs w:val="24"/>
        </w:rPr>
        <w:t xml:space="preserve">This study is limited to the perspective of online education class inequality, so further research is needed that further maximizes empirical research accommodation based on observations and interviews faced by higher education. This allows for comprehensive understanding and the development of adaptive higher education policies. </w:t>
      </w:r>
    </w:p>
    <w:p>
      <w:pPr>
        <w:pStyle w:val="style179"/>
        <w:spacing w:lineRule="auto" w:line="360"/>
        <w:ind w:left="0"/>
        <w:jc w:val="both"/>
        <w:rPr>
          <w:rFonts w:cs="Times New Roman"/>
          <w:color w:val="ff0000"/>
          <w:szCs w:val="24"/>
        </w:rPr>
      </w:pPr>
    </w:p>
    <w:commentRangeStart w:id="7"/>
    <w:p>
      <w:pPr>
        <w:pStyle w:val="style0"/>
        <w:spacing w:lineRule="auto" w:line="360"/>
        <w:jc w:val="both"/>
        <w:rPr>
          <w:b/>
          <w:bCs/>
          <w:sz w:val="24"/>
          <w:szCs w:val="24"/>
        </w:rPr>
      </w:pPr>
      <w:r>
        <w:rPr>
          <w:b/>
          <w:bCs/>
          <w:sz w:val="24"/>
          <w:szCs w:val="24"/>
        </w:rPr>
        <w:t xml:space="preserve">7. REFERENCES </w:t>
      </w:r>
      <w:commentRangeEnd w:id="7"/>
      <w:r>
        <w:rPr>
          <w:rStyle w:val="style39"/>
        </w:rPr>
        <w:commentReference w:id="7"/>
      </w:r>
    </w:p>
    <w:p>
      <w:pPr>
        <w:pStyle w:val="style0"/>
        <w:spacing w:lineRule="auto" w:line="240"/>
        <w:ind w:left="851" w:hanging="851"/>
        <w:jc w:val="both"/>
        <w:rPr>
          <w:sz w:val="24"/>
          <w:szCs w:val="24"/>
        </w:rPr>
      </w:pPr>
      <w:r>
        <w:rPr>
          <w:sz w:val="24"/>
          <w:szCs w:val="24"/>
        </w:rPr>
        <w:t xml:space="preserve">Archer, L. et al. (2005) Higher education and social class: Issues of exclusion and inclusion, Higher Education and Social Class: Issues of Exclusion and Inclusion. </w:t>
      </w:r>
      <w:r>
        <w:rPr>
          <w:sz w:val="24"/>
          <w:szCs w:val="24"/>
        </w:rPr>
        <w:t>doi</w:t>
      </w:r>
      <w:r>
        <w:rPr>
          <w:sz w:val="24"/>
          <w:szCs w:val="24"/>
        </w:rPr>
        <w:t>: 10.4324/9780203986943.</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Astuti</w:t>
      </w:r>
      <w:r>
        <w:rPr>
          <w:sz w:val="24"/>
          <w:szCs w:val="24"/>
        </w:rPr>
        <w:t xml:space="preserve">, R. D., </w:t>
      </w:r>
      <w:r>
        <w:rPr>
          <w:sz w:val="24"/>
          <w:szCs w:val="24"/>
        </w:rPr>
        <w:t>Andayani</w:t>
      </w:r>
      <w:r>
        <w:rPr>
          <w:sz w:val="24"/>
          <w:szCs w:val="24"/>
        </w:rPr>
        <w:t xml:space="preserve">, A., &amp; </w:t>
      </w:r>
      <w:r>
        <w:rPr>
          <w:sz w:val="24"/>
          <w:szCs w:val="24"/>
        </w:rPr>
        <w:t>Suyitno</w:t>
      </w:r>
      <w:r>
        <w:rPr>
          <w:sz w:val="24"/>
          <w:szCs w:val="24"/>
        </w:rPr>
        <w:t xml:space="preserve">, S. (2021). </w:t>
      </w:r>
      <w:r>
        <w:rPr>
          <w:sz w:val="24"/>
          <w:szCs w:val="24"/>
        </w:rPr>
        <w:t>Implementation of Learning to Write News Text via the Internet in the COVID-19 Pandemic Era (Case Study in Class VIII MTs N 1 Surakarta).</w:t>
      </w:r>
      <w:r>
        <w:rPr>
          <w:sz w:val="24"/>
          <w:szCs w:val="24"/>
        </w:rPr>
        <w:t xml:space="preserve"> International Journal of Multicultural and </w:t>
      </w:r>
      <w:r>
        <w:rPr>
          <w:sz w:val="24"/>
          <w:szCs w:val="24"/>
        </w:rPr>
        <w:t>Multireligious</w:t>
      </w:r>
      <w:r>
        <w:rPr>
          <w:sz w:val="24"/>
          <w:szCs w:val="24"/>
        </w:rPr>
        <w:t xml:space="preserve"> Understanding, 8(2), 206-213.</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Azzizah</w:t>
      </w:r>
      <w:r>
        <w:rPr>
          <w:sz w:val="24"/>
          <w:szCs w:val="24"/>
        </w:rPr>
        <w:t xml:space="preserve">, </w:t>
      </w:r>
      <w:r>
        <w:rPr>
          <w:sz w:val="24"/>
          <w:szCs w:val="24"/>
        </w:rPr>
        <w:t>Yuni</w:t>
      </w:r>
      <w:r>
        <w:rPr>
          <w:sz w:val="24"/>
          <w:szCs w:val="24"/>
        </w:rPr>
        <w:t xml:space="preserve"> (2015) ‘Socio-Economic Factors on Indonesia Education Disparity.’</w:t>
      </w:r>
      <w:r>
        <w:rPr>
          <w:sz w:val="24"/>
          <w:szCs w:val="24"/>
        </w:rPr>
        <w:t xml:space="preserve"> International Education Studies 8 (12). DOI:10.5539/ies.v8n12p218.</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Azubuike, O. B., Adegboye, O. and Quadri, H. (2020) ‘Who gets to learn in a pandemic? Exploring the digital divide in remote learning during the COVID-19 pandemic in Nigeria’, </w:t>
      </w:r>
      <w:r>
        <w:rPr>
          <w:i/>
          <w:iCs/>
          <w:noProof/>
          <w:sz w:val="24"/>
          <w:szCs w:val="24"/>
        </w:rPr>
        <w:t>International Journal of Educational Research Open</w:t>
      </w:r>
      <w:r>
        <w:rPr>
          <w:noProof/>
          <w:sz w:val="24"/>
          <w:szCs w:val="24"/>
        </w:rPr>
        <w:t>. doi: 10.1016/j.ijedro.2020.100022.</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Bacher-Hicks, A., Goodman, J. and Mulhern, C. (2021) ‘Inequality in household adaptation to schooling shocks: Covid-induced online learning engagement in real time’, </w:t>
      </w:r>
      <w:r>
        <w:rPr>
          <w:i/>
          <w:iCs/>
          <w:noProof/>
          <w:sz w:val="24"/>
          <w:szCs w:val="24"/>
        </w:rPr>
        <w:t>Journal of Public Economics</w:t>
      </w:r>
      <w:r>
        <w:rPr>
          <w:noProof/>
          <w:sz w:val="24"/>
          <w:szCs w:val="24"/>
        </w:rPr>
        <w:t>. doi: 10.1016/j.jpubeco.2020.104345.</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Berger, T. and Engzell, P. (2020) ‘Trends and Disparities in Subjective Upward Mobility since 1940’, </w:t>
      </w:r>
      <w:r>
        <w:rPr>
          <w:i/>
          <w:iCs/>
          <w:noProof/>
          <w:sz w:val="24"/>
          <w:szCs w:val="24"/>
        </w:rPr>
        <w:t>Socius</w:t>
      </w:r>
      <w:r>
        <w:rPr>
          <w:noProof/>
          <w:sz w:val="24"/>
          <w:szCs w:val="24"/>
        </w:rPr>
        <w:t>. doi:10.1177/2378023120951139.</w:t>
      </w:r>
    </w:p>
    <w:p>
      <w:pPr>
        <w:pStyle w:val="style0"/>
        <w:spacing w:lineRule="auto" w:line="240"/>
        <w:ind w:left="851" w:hanging="851"/>
        <w:jc w:val="both"/>
        <w:rPr>
          <w:sz w:val="24"/>
          <w:szCs w:val="24"/>
        </w:rPr>
      </w:pPr>
      <w:r>
        <w:rPr>
          <w:sz w:val="24"/>
          <w:szCs w:val="24"/>
        </w:rPr>
        <w:t>Brown, P. (2013) ‘Education, opportunity and the prospects for social mobility’, British Journal of Sociology of Education.</w:t>
      </w:r>
      <w:r>
        <w:rPr>
          <w:sz w:val="24"/>
          <w:szCs w:val="24"/>
        </w:rPr>
        <w:t xml:space="preserve"> </w:t>
      </w:r>
      <w:r>
        <w:rPr>
          <w:sz w:val="24"/>
          <w:szCs w:val="24"/>
        </w:rPr>
        <w:t>doi</w:t>
      </w:r>
      <w:r>
        <w:rPr>
          <w:sz w:val="24"/>
          <w:szCs w:val="24"/>
        </w:rPr>
        <w:t xml:space="preserve">: 10.1080/01425692.2013.816036. </w:t>
      </w:r>
    </w:p>
    <w:p>
      <w:pPr>
        <w:pStyle w:val="style0"/>
        <w:spacing w:lineRule="auto" w:line="240"/>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Campbell, P. (2020) ‘Rethinking professional collaboration and agency in a post-pandemic era’, </w:t>
      </w:r>
      <w:r>
        <w:rPr>
          <w:i/>
          <w:iCs/>
          <w:noProof/>
          <w:sz w:val="24"/>
          <w:szCs w:val="24"/>
        </w:rPr>
        <w:t>Journal of Professional Capital and Community</w:t>
      </w:r>
      <w:r>
        <w:rPr>
          <w:noProof/>
          <w:sz w:val="24"/>
          <w:szCs w:val="24"/>
        </w:rPr>
        <w:t>. doi: 10.1108/JPCC-06-2020-0033.</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Carter, R. A. </w:t>
      </w:r>
      <w:r>
        <w:rPr>
          <w:i/>
          <w:iCs/>
          <w:noProof/>
          <w:sz w:val="24"/>
          <w:szCs w:val="24"/>
        </w:rPr>
        <w:t>et al.</w:t>
      </w:r>
      <w:r>
        <w:rPr>
          <w:noProof/>
          <w:sz w:val="24"/>
          <w:szCs w:val="24"/>
        </w:rPr>
        <w:t xml:space="preserve"> (2020) ‘Self-regulated learning in online learning environments: strategies for remote learning’, </w:t>
      </w:r>
      <w:r>
        <w:rPr>
          <w:i/>
          <w:iCs/>
          <w:noProof/>
          <w:sz w:val="24"/>
          <w:szCs w:val="24"/>
        </w:rPr>
        <w:t>Information and Learning Science</w:t>
      </w:r>
      <w:r>
        <w:rPr>
          <w:noProof/>
          <w:sz w:val="24"/>
          <w:szCs w:val="24"/>
        </w:rPr>
        <w:t>. doi: 10.1108/ILS-04-2020-0114.</w:t>
      </w:r>
    </w:p>
    <w:p>
      <w:pPr>
        <w:pStyle w:val="style0"/>
        <w:autoSpaceDE w:val="false"/>
        <w:autoSpaceDN w:val="false"/>
        <w:adjustRightInd w:val="false"/>
        <w:spacing w:lineRule="auto" w:line="240"/>
        <w:ind w:left="993" w:hanging="993"/>
        <w:jc w:val="both"/>
        <w:rPr>
          <w:noProof/>
          <w:sz w:val="24"/>
          <w:szCs w:val="24"/>
        </w:rPr>
      </w:pPr>
      <w:r>
        <w:rPr>
          <w:sz w:val="24"/>
          <w:szCs w:val="24"/>
          <w:shd w:val="clear" w:color="auto" w:fill="ffffff"/>
        </w:rPr>
        <w:t xml:space="preserve">Collins, Randall (1979) </w:t>
      </w:r>
      <w:r>
        <w:rPr>
          <w:sz w:val="24"/>
          <w:szCs w:val="24"/>
          <w:shd w:val="clear" w:color="auto" w:fill="ffffff"/>
        </w:rPr>
        <w:t>The</w:t>
      </w:r>
      <w:r>
        <w:rPr>
          <w:sz w:val="24"/>
          <w:szCs w:val="24"/>
          <w:shd w:val="clear" w:color="auto" w:fill="ffffff"/>
        </w:rPr>
        <w:t xml:space="preserve"> Credential Society: An Historical Sociology of Education and Stratification, New York: Academic Press.</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De Azevedo Vieira, E., Coviello, A. M. P. and Coelho, T. R. (2020) ‘Technological infrastructure for remote classes in Brazilian public schools during the COVID-19 pandemic’, in </w:t>
      </w:r>
      <w:r>
        <w:rPr>
          <w:i/>
          <w:iCs/>
          <w:noProof/>
          <w:sz w:val="24"/>
          <w:szCs w:val="24"/>
        </w:rPr>
        <w:t>ACM International Conference Proceeding Series</w:t>
      </w:r>
      <w:r>
        <w:rPr>
          <w:noProof/>
          <w:sz w:val="24"/>
          <w:szCs w:val="24"/>
        </w:rPr>
        <w:t>. doi: 10.1145/3428502.3428534.</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Eynon, R. and Malmberg, L. E. (2020) ‘Lifelong learning and the Internet: Who benefits most from learning online?’, </w:t>
      </w:r>
      <w:r>
        <w:rPr>
          <w:i/>
          <w:iCs/>
          <w:noProof/>
          <w:sz w:val="24"/>
          <w:szCs w:val="24"/>
        </w:rPr>
        <w:t>British Journal of Educational Technology</w:t>
      </w:r>
      <w:r>
        <w:rPr>
          <w:noProof/>
          <w:sz w:val="24"/>
          <w:szCs w:val="24"/>
        </w:rPr>
        <w:t>. doi: 10.1111/bjet.13041.</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Ez-zaouia, M., Tabard, A. and Lavoué, E. (2020) ‘EMODASH: A dashboard supporting retrospective awareness of emotions in online learning’, </w:t>
      </w:r>
      <w:r>
        <w:rPr>
          <w:i/>
          <w:iCs/>
          <w:noProof/>
          <w:sz w:val="24"/>
          <w:szCs w:val="24"/>
        </w:rPr>
        <w:t>International Journal of Human Computer Studies</w:t>
      </w:r>
      <w:r>
        <w:rPr>
          <w:noProof/>
          <w:sz w:val="24"/>
          <w:szCs w:val="24"/>
        </w:rPr>
        <w:t>. doi: 10.1016/j.ijhcs.2020.102411.</w:t>
      </w:r>
    </w:p>
    <w:p>
      <w:pPr>
        <w:pStyle w:val="style0"/>
        <w:spacing w:lineRule="auto" w:line="240"/>
        <w:ind w:left="851" w:hanging="851"/>
        <w:jc w:val="both"/>
        <w:rPr>
          <w:sz w:val="24"/>
          <w:szCs w:val="24"/>
        </w:rPr>
      </w:pPr>
      <w:r>
        <w:rPr>
          <w:sz w:val="24"/>
          <w:szCs w:val="24"/>
        </w:rPr>
        <w:t>Fatoni</w:t>
      </w:r>
      <w:r>
        <w:rPr>
          <w:sz w:val="24"/>
          <w:szCs w:val="24"/>
        </w:rPr>
        <w:t xml:space="preserve">, </w:t>
      </w:r>
      <w:r>
        <w:rPr>
          <w:sz w:val="24"/>
          <w:szCs w:val="24"/>
        </w:rPr>
        <w:t>Arifiati</w:t>
      </w:r>
      <w:r>
        <w:rPr>
          <w:sz w:val="24"/>
          <w:szCs w:val="24"/>
        </w:rPr>
        <w:t xml:space="preserve">, N., </w:t>
      </w:r>
      <w:r>
        <w:rPr>
          <w:sz w:val="24"/>
          <w:szCs w:val="24"/>
        </w:rPr>
        <w:t>Nurkhayati</w:t>
      </w:r>
      <w:r>
        <w:rPr>
          <w:sz w:val="24"/>
          <w:szCs w:val="24"/>
        </w:rPr>
        <w:t xml:space="preserve">, E., </w:t>
      </w:r>
      <w:r>
        <w:rPr>
          <w:sz w:val="24"/>
          <w:szCs w:val="24"/>
        </w:rPr>
        <w:t>Nurdiawati</w:t>
      </w:r>
      <w:r>
        <w:rPr>
          <w:sz w:val="24"/>
          <w:szCs w:val="24"/>
        </w:rPr>
        <w:t xml:space="preserve">, E., </w:t>
      </w:r>
      <w:r>
        <w:rPr>
          <w:sz w:val="24"/>
          <w:szCs w:val="24"/>
        </w:rPr>
        <w:t>Fidziah</w:t>
      </w:r>
      <w:r>
        <w:rPr>
          <w:sz w:val="24"/>
          <w:szCs w:val="24"/>
        </w:rPr>
        <w:t xml:space="preserve">, </w:t>
      </w:r>
      <w:r>
        <w:rPr>
          <w:sz w:val="24"/>
          <w:szCs w:val="24"/>
        </w:rPr>
        <w:t>Pamungkas</w:t>
      </w:r>
      <w:r>
        <w:rPr>
          <w:sz w:val="24"/>
          <w:szCs w:val="24"/>
        </w:rPr>
        <w:t xml:space="preserve">, G., </w:t>
      </w:r>
      <w:r>
        <w:rPr>
          <w:sz w:val="24"/>
          <w:szCs w:val="24"/>
        </w:rPr>
        <w:t>Azizi</w:t>
      </w:r>
      <w:r>
        <w:rPr>
          <w:sz w:val="24"/>
          <w:szCs w:val="24"/>
        </w:rPr>
        <w:t xml:space="preserve">, E. (2020). University </w:t>
      </w:r>
      <w:r>
        <w:rPr>
          <w:sz w:val="24"/>
          <w:szCs w:val="24"/>
        </w:rPr>
        <w:t>students</w:t>
      </w:r>
      <w:r>
        <w:rPr>
          <w:sz w:val="24"/>
          <w:szCs w:val="24"/>
        </w:rPr>
        <w:t xml:space="preserve"> online learning system during covid-19 pandemic: Advantages, constraints and solutions. Systematic Reviews in Pharmacy, 11(7), 570-576. doi:10.31838/srp.2020.7.81</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Firang, D. (2020) ‘The impact of COVID-19 pandemic on international students in Canada’, </w:t>
      </w:r>
      <w:r>
        <w:rPr>
          <w:i/>
          <w:iCs/>
          <w:noProof/>
          <w:sz w:val="24"/>
          <w:szCs w:val="24"/>
        </w:rPr>
        <w:t>International Social Work</w:t>
      </w:r>
      <w:r>
        <w:rPr>
          <w:noProof/>
          <w:sz w:val="24"/>
          <w:szCs w:val="24"/>
        </w:rPr>
        <w:t>, 63(6), pp. 820–824. doi: 10.1177/0020872820940030.</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Fikri</w:t>
      </w:r>
      <w:r>
        <w:rPr>
          <w:sz w:val="24"/>
          <w:szCs w:val="24"/>
        </w:rPr>
        <w:t xml:space="preserve">, M., </w:t>
      </w:r>
      <w:r>
        <w:rPr>
          <w:sz w:val="24"/>
          <w:szCs w:val="24"/>
        </w:rPr>
        <w:t>Faizah</w:t>
      </w:r>
      <w:r>
        <w:rPr>
          <w:sz w:val="24"/>
          <w:szCs w:val="24"/>
        </w:rPr>
        <w:t xml:space="preserve">, N., Elian, S. A., </w:t>
      </w:r>
      <w:r>
        <w:rPr>
          <w:sz w:val="24"/>
          <w:szCs w:val="24"/>
        </w:rPr>
        <w:t>Rahmani</w:t>
      </w:r>
      <w:r>
        <w:rPr>
          <w:sz w:val="24"/>
          <w:szCs w:val="24"/>
        </w:rPr>
        <w:t xml:space="preserve">, R., </w:t>
      </w:r>
      <w:r>
        <w:rPr>
          <w:sz w:val="24"/>
          <w:szCs w:val="24"/>
        </w:rPr>
        <w:t>Ananda</w:t>
      </w:r>
      <w:r>
        <w:rPr>
          <w:sz w:val="24"/>
          <w:szCs w:val="24"/>
        </w:rPr>
        <w:t xml:space="preserve">, M. Z., &amp; </w:t>
      </w:r>
      <w:r>
        <w:rPr>
          <w:sz w:val="24"/>
          <w:szCs w:val="24"/>
        </w:rPr>
        <w:t>Suryanda</w:t>
      </w:r>
      <w:r>
        <w:rPr>
          <w:sz w:val="24"/>
          <w:szCs w:val="24"/>
        </w:rPr>
        <w:t>, A. (2021).</w:t>
      </w:r>
      <w:r>
        <w:rPr>
          <w:sz w:val="24"/>
          <w:szCs w:val="24"/>
        </w:rPr>
        <w:t xml:space="preserve"> </w:t>
      </w:r>
      <w:r>
        <w:rPr>
          <w:sz w:val="24"/>
          <w:szCs w:val="24"/>
        </w:rPr>
        <w:t>Kendala</w:t>
      </w:r>
      <w:r>
        <w:rPr>
          <w:sz w:val="24"/>
          <w:szCs w:val="24"/>
        </w:rPr>
        <w:t xml:space="preserve"> </w:t>
      </w:r>
      <w:r>
        <w:rPr>
          <w:sz w:val="24"/>
          <w:szCs w:val="24"/>
        </w:rPr>
        <w:t>Dalam</w:t>
      </w:r>
      <w:r>
        <w:rPr>
          <w:sz w:val="24"/>
          <w:szCs w:val="24"/>
        </w:rPr>
        <w:t xml:space="preserve"> </w:t>
      </w:r>
      <w:r>
        <w:rPr>
          <w:sz w:val="24"/>
          <w:szCs w:val="24"/>
        </w:rPr>
        <w:t>Pembelajaran</w:t>
      </w:r>
      <w:r>
        <w:rPr>
          <w:sz w:val="24"/>
          <w:szCs w:val="24"/>
        </w:rPr>
        <w:t xml:space="preserve"> </w:t>
      </w:r>
      <w:r>
        <w:rPr>
          <w:sz w:val="24"/>
          <w:szCs w:val="24"/>
        </w:rPr>
        <w:t>Jarak</w:t>
      </w:r>
      <w:r>
        <w:rPr>
          <w:sz w:val="24"/>
          <w:szCs w:val="24"/>
        </w:rPr>
        <w:t xml:space="preserve"> </w:t>
      </w:r>
      <w:r>
        <w:rPr>
          <w:sz w:val="24"/>
          <w:szCs w:val="24"/>
        </w:rPr>
        <w:t>Jauh</w:t>
      </w:r>
      <w:r>
        <w:rPr>
          <w:sz w:val="24"/>
          <w:szCs w:val="24"/>
        </w:rPr>
        <w:t xml:space="preserve"> Di </w:t>
      </w:r>
      <w:r>
        <w:rPr>
          <w:sz w:val="24"/>
          <w:szCs w:val="24"/>
        </w:rPr>
        <w:t>Masa</w:t>
      </w:r>
      <w:r>
        <w:rPr>
          <w:sz w:val="24"/>
          <w:szCs w:val="24"/>
        </w:rPr>
        <w:t xml:space="preserve"> </w:t>
      </w:r>
      <w:r>
        <w:rPr>
          <w:sz w:val="24"/>
          <w:szCs w:val="24"/>
        </w:rPr>
        <w:t>Pandemi</w:t>
      </w:r>
      <w:r>
        <w:rPr>
          <w:sz w:val="24"/>
          <w:szCs w:val="24"/>
        </w:rPr>
        <w:t xml:space="preserve"> Covid-19: </w:t>
      </w:r>
      <w:r>
        <w:rPr>
          <w:sz w:val="24"/>
          <w:szCs w:val="24"/>
        </w:rPr>
        <w:t>Sebuah</w:t>
      </w:r>
      <w:r>
        <w:rPr>
          <w:sz w:val="24"/>
          <w:szCs w:val="24"/>
        </w:rPr>
        <w:t xml:space="preserve"> </w:t>
      </w:r>
      <w:r>
        <w:rPr>
          <w:sz w:val="24"/>
          <w:szCs w:val="24"/>
        </w:rPr>
        <w:t>Kajian</w:t>
      </w:r>
      <w:r>
        <w:rPr>
          <w:sz w:val="24"/>
          <w:szCs w:val="24"/>
        </w:rPr>
        <w:t xml:space="preserve"> </w:t>
      </w:r>
      <w:r>
        <w:rPr>
          <w:sz w:val="24"/>
          <w:szCs w:val="24"/>
        </w:rPr>
        <w:t>Kritis</w:t>
      </w:r>
      <w:r>
        <w:rPr>
          <w:sz w:val="24"/>
          <w:szCs w:val="24"/>
        </w:rPr>
        <w:t xml:space="preserve">. </w:t>
      </w:r>
      <w:r>
        <w:rPr>
          <w:sz w:val="24"/>
          <w:szCs w:val="24"/>
        </w:rPr>
        <w:t>Jurnal</w:t>
      </w:r>
      <w:r>
        <w:rPr>
          <w:sz w:val="24"/>
          <w:szCs w:val="24"/>
        </w:rPr>
        <w:t xml:space="preserve"> Education </w:t>
      </w:r>
      <w:r>
        <w:rPr>
          <w:sz w:val="24"/>
          <w:szCs w:val="24"/>
        </w:rPr>
        <w:t>And</w:t>
      </w:r>
      <w:r>
        <w:rPr>
          <w:sz w:val="24"/>
          <w:szCs w:val="24"/>
        </w:rPr>
        <w:t xml:space="preserve"> Development, 9(1), 145-145.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Herwin </w:t>
      </w:r>
      <w:r>
        <w:rPr>
          <w:i/>
          <w:iCs/>
          <w:noProof/>
          <w:sz w:val="24"/>
          <w:szCs w:val="24"/>
        </w:rPr>
        <w:t>et al.</w:t>
      </w:r>
      <w:r>
        <w:rPr>
          <w:noProof/>
          <w:sz w:val="24"/>
          <w:szCs w:val="24"/>
        </w:rPr>
        <w:t xml:space="preserve"> (2020) ‘The evaluation of learning services during the covid-19 pandemic’, </w:t>
      </w:r>
      <w:r>
        <w:rPr>
          <w:i/>
          <w:iCs/>
          <w:noProof/>
          <w:sz w:val="24"/>
          <w:szCs w:val="24"/>
        </w:rPr>
        <w:t>Universal Journal of Educational Research</w:t>
      </w:r>
      <w:r>
        <w:rPr>
          <w:noProof/>
          <w:sz w:val="24"/>
          <w:szCs w:val="24"/>
        </w:rPr>
        <w:t>. doi: 10.13189/ujer.2020.082227.</w:t>
      </w:r>
    </w:p>
    <w:p>
      <w:pPr>
        <w:pStyle w:val="style0"/>
        <w:spacing w:lineRule="auto" w:line="240"/>
        <w:ind w:left="851" w:hanging="851"/>
        <w:jc w:val="both"/>
        <w:rPr>
          <w:rStyle w:val="style85"/>
          <w:sz w:val="24"/>
          <w:szCs w:val="24"/>
        </w:rPr>
      </w:pPr>
      <w:r>
        <w:rPr/>
        <w:fldChar w:fldCharType="begin"/>
      </w:r>
      <w:r>
        <w:instrText xml:space="preserve"> HYPERLINK "Https://www.kompasiana.com/shaffahazzahrawindri/5ffae3bd8ede484a9a4f0ab2/reproduksi-kesenjangan-sosial-ekonomi-akibat-belajar-online-di-masa-pandemi-covid-19?page=all" </w:instrText>
      </w:r>
      <w:r>
        <w:rPr/>
        <w:fldChar w:fldCharType="separate"/>
      </w:r>
      <w:r>
        <w:rPr>
          <w:rStyle w:val="style85"/>
          <w:sz w:val="24"/>
          <w:szCs w:val="24"/>
        </w:rPr>
        <w:t>Https://www.kompasiana.com/shaffahazzahrawindri/5ffae3bd8ede484a9a4f0ab2/reproduksi-kesenjangan-sosial-ekonomi-akibat-belajar-online-di-masa-pandemi-covid-19?page=all</w:t>
      </w:r>
      <w:r>
        <w:rPr/>
        <w:fldChar w:fldCharType="end"/>
      </w:r>
    </w:p>
    <w:p>
      <w:pPr>
        <w:pStyle w:val="style0"/>
        <w:spacing w:lineRule="auto" w:line="240"/>
        <w:ind w:left="851" w:hanging="851"/>
        <w:jc w:val="both"/>
        <w:rPr>
          <w:rStyle w:val="style85"/>
          <w:sz w:val="24"/>
          <w:szCs w:val="24"/>
        </w:rPr>
      </w:pPr>
    </w:p>
    <w:p>
      <w:pPr>
        <w:pStyle w:val="style0"/>
        <w:spacing w:lineRule="auto" w:line="240"/>
        <w:ind w:left="851" w:hanging="851"/>
        <w:jc w:val="both"/>
        <w:rPr>
          <w:sz w:val="24"/>
          <w:szCs w:val="24"/>
        </w:rPr>
      </w:pPr>
      <w:r>
        <w:rPr/>
        <w:fldChar w:fldCharType="begin"/>
      </w:r>
      <w:r>
        <w:instrText xml:space="preserve"> HYPERLINK "Https://regional.kompas.com/image/2021/10/26/075000578/ketimpangan-pendidikan-si-kaya-dan-si-miskin-saat-pandemi-orangtua-di?page=5" </w:instrText>
      </w:r>
      <w:r>
        <w:rPr/>
        <w:fldChar w:fldCharType="separate"/>
      </w:r>
      <w:r>
        <w:rPr>
          <w:rStyle w:val="style85"/>
          <w:sz w:val="24"/>
          <w:szCs w:val="24"/>
        </w:rPr>
        <w:t>Https://regional.kompas.com/image/2021/10/26/075000578/ketimpangan-pendidikan-si-kaya-dan-si-miskin-saat-pandemi-orangtua-di?page=5</w:t>
      </w:r>
      <w:r>
        <w:rPr/>
        <w:fldChar w:fldCharType="end"/>
      </w:r>
    </w:p>
    <w:p>
      <w:pPr>
        <w:pStyle w:val="style0"/>
        <w:spacing w:lineRule="auto" w:line="240"/>
        <w:ind w:left="851" w:hanging="851"/>
        <w:jc w:val="both"/>
        <w:rPr>
          <w:sz w:val="24"/>
          <w:szCs w:val="24"/>
        </w:rPr>
      </w:pPr>
    </w:p>
    <w:p>
      <w:pPr>
        <w:pStyle w:val="style0"/>
        <w:spacing w:lineRule="auto" w:line="240"/>
        <w:ind w:left="851" w:hanging="851"/>
        <w:jc w:val="both"/>
        <w:rPr>
          <w:sz w:val="24"/>
          <w:szCs w:val="24"/>
          <w:u w:val="single"/>
        </w:rPr>
      </w:pPr>
      <w:r>
        <w:rPr/>
        <w:fldChar w:fldCharType="begin"/>
      </w:r>
      <w:r>
        <w:instrText xml:space="preserve"> HYPERLINK "Https://regional.kompas.com/read/2021/10/26/075000578/ketimpangan-pendidikan-si-kaya-dan-si-miskin-saat-pandemi-orangtua-di" </w:instrText>
      </w:r>
      <w:r>
        <w:rPr/>
        <w:fldChar w:fldCharType="separate"/>
      </w:r>
      <w:r>
        <w:rPr>
          <w:rStyle w:val="style85"/>
          <w:sz w:val="24"/>
          <w:szCs w:val="24"/>
          <w:shd w:val="clear" w:color="auto" w:fill="ffffff"/>
        </w:rPr>
        <w:t>Https://regional.kompas.com/read/2021/10/26/075000578/ketimpangan-pendidikan-si-kaya-dan-si-miskin-saat-pandemi-orangtua-di</w:t>
      </w:r>
      <w:r>
        <w:rPr/>
        <w:fldChar w:fldCharType="end"/>
      </w:r>
      <w:r>
        <w:rPr>
          <w:sz w:val="24"/>
          <w:szCs w:val="24"/>
          <w:shd w:val="clear" w:color="auto" w:fill="ffffff"/>
        </w:rPr>
        <w:t>.</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Irvan</w:t>
      </w:r>
      <w:r>
        <w:rPr>
          <w:sz w:val="24"/>
          <w:szCs w:val="24"/>
        </w:rPr>
        <w:t xml:space="preserve">, M., &amp; </w:t>
      </w:r>
      <w:r>
        <w:rPr>
          <w:sz w:val="24"/>
          <w:szCs w:val="24"/>
        </w:rPr>
        <w:t>Jauhari</w:t>
      </w:r>
      <w:r>
        <w:rPr>
          <w:sz w:val="24"/>
          <w:szCs w:val="24"/>
        </w:rPr>
        <w:t>, M. N. (2020, December).</w:t>
      </w:r>
      <w:r>
        <w:rPr>
          <w:sz w:val="24"/>
          <w:szCs w:val="24"/>
        </w:rPr>
        <w:t xml:space="preserve"> Family Intervention: A Systematic Learning Approach for Children with Disabilities </w:t>
      </w:r>
      <w:r>
        <w:rPr>
          <w:sz w:val="24"/>
          <w:szCs w:val="24"/>
        </w:rPr>
        <w:t>During</w:t>
      </w:r>
      <w:r>
        <w:rPr>
          <w:sz w:val="24"/>
          <w:szCs w:val="24"/>
        </w:rPr>
        <w:t xml:space="preserve"> Pandemic Covid-19. </w:t>
      </w:r>
      <w:r>
        <w:rPr>
          <w:sz w:val="24"/>
          <w:szCs w:val="24"/>
        </w:rPr>
        <w:t>In 1st International Conference on Information Technology and Education (ICITE 2020) (pp. 223-227).</w:t>
      </w:r>
      <w:r>
        <w:rPr>
          <w:sz w:val="24"/>
          <w:szCs w:val="24"/>
        </w:rPr>
        <w:t xml:space="preserve"> Atlantis Press</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 xml:space="preserve">Katz, V. S., Jordan, A. B., &amp; </w:t>
      </w:r>
      <w:r>
        <w:rPr>
          <w:sz w:val="24"/>
          <w:szCs w:val="24"/>
        </w:rPr>
        <w:t>Ognyanova</w:t>
      </w:r>
      <w:r>
        <w:rPr>
          <w:sz w:val="24"/>
          <w:szCs w:val="24"/>
        </w:rPr>
        <w:t>, K. (2021).</w:t>
      </w:r>
      <w:r>
        <w:rPr>
          <w:sz w:val="24"/>
          <w:szCs w:val="24"/>
        </w:rPr>
        <w:t xml:space="preserve"> Digital inequality, faculty communication, and remote learning experiences during the COVID-19 pandemic: A survey of U.S. undergraduates. </w:t>
      </w:r>
      <w:r>
        <w:rPr>
          <w:sz w:val="24"/>
          <w:szCs w:val="24"/>
        </w:rPr>
        <w:t>PLoS</w:t>
      </w:r>
      <w:r>
        <w:rPr>
          <w:sz w:val="24"/>
          <w:szCs w:val="24"/>
        </w:rPr>
        <w:t xml:space="preserve"> ONE, 16(2 February) doi:10.1371/journal.pone.0246641 </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Ketmuni</w:t>
      </w:r>
      <w:r>
        <w:rPr>
          <w:sz w:val="24"/>
          <w:szCs w:val="24"/>
        </w:rPr>
        <w:t>, M. (2021).</w:t>
      </w:r>
      <w:r>
        <w:rPr>
          <w:sz w:val="24"/>
          <w:szCs w:val="24"/>
        </w:rPr>
        <w:t xml:space="preserve"> </w:t>
      </w:r>
      <w:r>
        <w:rPr>
          <w:sz w:val="24"/>
          <w:szCs w:val="24"/>
        </w:rPr>
        <w:t xml:space="preserve">The Acceptance of Online English Language Learning of Undergraduate Students at </w:t>
      </w:r>
      <w:r>
        <w:rPr>
          <w:sz w:val="24"/>
          <w:szCs w:val="24"/>
        </w:rPr>
        <w:t>Rajamangala</w:t>
      </w:r>
      <w:r>
        <w:rPr>
          <w:sz w:val="24"/>
          <w:szCs w:val="24"/>
        </w:rPr>
        <w:t xml:space="preserve"> University of Technology </w:t>
      </w:r>
      <w:r>
        <w:rPr>
          <w:sz w:val="24"/>
          <w:szCs w:val="24"/>
        </w:rPr>
        <w:t>Thanyaburi</w:t>
      </w:r>
      <w:r>
        <w:rPr>
          <w:sz w:val="24"/>
          <w:szCs w:val="24"/>
        </w:rPr>
        <w:t>.</w:t>
      </w:r>
      <w:r>
        <w:rPr>
          <w:sz w:val="24"/>
          <w:szCs w:val="24"/>
        </w:rPr>
        <w:t xml:space="preserve"> Psychology and Education Journal, 58(1), 1464-1470.</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Kim, M. and Kim, M. (2020) ‘Changes in the Health-related Quality of Life among Korean Adults : Data Comparison between 2007 and 2017’.</w:t>
      </w:r>
    </w:p>
    <w:p>
      <w:pPr>
        <w:pStyle w:val="style0"/>
        <w:spacing w:lineRule="auto" w:line="240"/>
        <w:ind w:left="851" w:hanging="851"/>
        <w:jc w:val="both"/>
        <w:rPr>
          <w:sz w:val="24"/>
          <w:szCs w:val="24"/>
        </w:rPr>
      </w:pPr>
      <w:r>
        <w:rPr>
          <w:sz w:val="24"/>
          <w:szCs w:val="24"/>
        </w:rPr>
        <w:t xml:space="preserve">Liang, S. W., Chen, R. N., Liu, L. L., Li, X. G., Chen, J. Bin, Tang, S. Y., &amp; Zhao, J. B. (2020). The Psychological Impact of the COVID-19 Epidemic on Guangdong College Students: The Difference </w:t>
      </w:r>
      <w:r>
        <w:rPr>
          <w:sz w:val="24"/>
          <w:szCs w:val="24"/>
        </w:rPr>
        <w:t>Between</w:t>
      </w:r>
      <w:r>
        <w:rPr>
          <w:sz w:val="24"/>
          <w:szCs w:val="24"/>
        </w:rPr>
        <w:t xml:space="preserve"> Seeking and Not Seeking Psychological Help. </w:t>
      </w:r>
      <w:r>
        <w:rPr>
          <w:sz w:val="24"/>
          <w:szCs w:val="24"/>
        </w:rPr>
        <w:t>Frontiers in Psychology.</w:t>
      </w:r>
      <w:r>
        <w:rPr>
          <w:sz w:val="24"/>
          <w:szCs w:val="24"/>
        </w:rPr>
        <w:t xml:space="preserve"> </w:t>
      </w:r>
      <w:r>
        <w:rPr/>
        <w:fldChar w:fldCharType="begin"/>
      </w:r>
      <w:r>
        <w:instrText xml:space="preserve"> HYPERLINK "https://doi.org/10.3389/fpsyg.2020.02231" </w:instrText>
      </w:r>
      <w:r>
        <w:rPr/>
        <w:fldChar w:fldCharType="separate"/>
      </w:r>
      <w:r>
        <w:rPr>
          <w:rStyle w:val="style85"/>
          <w:sz w:val="24"/>
          <w:szCs w:val="24"/>
        </w:rPr>
        <w:t>https://doi.org/10.3389/fpsyg.2020.02231</w:t>
      </w:r>
      <w:r>
        <w:rPr/>
        <w:fldChar w:fldCharType="end"/>
      </w:r>
      <w:r>
        <w:rPr>
          <w:sz w:val="24"/>
          <w:szCs w:val="24"/>
        </w:rPr>
        <w:t xml:space="preserve"> </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 xml:space="preserve"> Li, X., </w:t>
      </w:r>
      <w:r>
        <w:rPr>
          <w:sz w:val="24"/>
          <w:szCs w:val="24"/>
        </w:rPr>
        <w:t>Lv</w:t>
      </w:r>
      <w:r>
        <w:rPr>
          <w:sz w:val="24"/>
          <w:szCs w:val="24"/>
        </w:rPr>
        <w:t xml:space="preserve">, Q., Tang, W., Deng, W., Zhao, L., </w:t>
      </w:r>
      <w:r>
        <w:rPr>
          <w:sz w:val="24"/>
          <w:szCs w:val="24"/>
        </w:rPr>
        <w:t>Meng</w:t>
      </w:r>
      <w:r>
        <w:rPr>
          <w:sz w:val="24"/>
          <w:szCs w:val="24"/>
        </w:rPr>
        <w:t xml:space="preserve">, Y., </w:t>
      </w:r>
      <w:r>
        <w:rPr>
          <w:sz w:val="24"/>
          <w:szCs w:val="24"/>
        </w:rPr>
        <w:t>Guo</w:t>
      </w:r>
      <w:r>
        <w:rPr>
          <w:sz w:val="24"/>
          <w:szCs w:val="24"/>
        </w:rPr>
        <w:t xml:space="preserve">, W., &amp; Li, T. (2021). Psychological stresses among Chinese university students during the COVID-19 epidemic: The effect of early life adversity on emotional distress. </w:t>
      </w:r>
      <w:r>
        <w:rPr>
          <w:sz w:val="24"/>
          <w:szCs w:val="24"/>
        </w:rPr>
        <w:t>Journal of Affective Disorders.</w:t>
      </w:r>
      <w:r>
        <w:rPr>
          <w:sz w:val="24"/>
          <w:szCs w:val="24"/>
        </w:rPr>
        <w:t xml:space="preserve"> </w:t>
      </w:r>
      <w:r>
        <w:rPr/>
        <w:fldChar w:fldCharType="begin"/>
      </w:r>
      <w:r>
        <w:instrText xml:space="preserve"> HYPERLINK "https://doi.org/10.1016/j.jad.2020.12.126" </w:instrText>
      </w:r>
      <w:r>
        <w:rPr/>
        <w:fldChar w:fldCharType="separate"/>
      </w:r>
      <w:r>
        <w:rPr>
          <w:rStyle w:val="style85"/>
          <w:sz w:val="24"/>
          <w:szCs w:val="24"/>
        </w:rPr>
        <w:t>https://doi.org/10.1016/j.jad.2020.12.126</w:t>
      </w:r>
      <w:r>
        <w:rPr/>
        <w:fldChar w:fldCharType="end"/>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 xml:space="preserve">Lin, M. J. (2020) ‘The social and genetic inheritance of educational attainment: Genes, parental education, and educational expansion’, </w:t>
      </w:r>
      <w:r>
        <w:rPr>
          <w:i/>
          <w:iCs/>
          <w:noProof/>
          <w:sz w:val="24"/>
          <w:szCs w:val="24"/>
        </w:rPr>
        <w:t>Social Science Research</w:t>
      </w:r>
      <w:r>
        <w:rPr>
          <w:noProof/>
          <w:sz w:val="24"/>
          <w:szCs w:val="24"/>
        </w:rPr>
        <w:t>, 86, p. 102387. doi: 10.1016/j.ssresearch.2019.102387.</w:t>
      </w:r>
    </w:p>
    <w:p>
      <w:pPr>
        <w:pStyle w:val="style0"/>
        <w:spacing w:lineRule="auto" w:line="240"/>
        <w:jc w:val="both"/>
        <w:rPr>
          <w:sz w:val="24"/>
          <w:szCs w:val="24"/>
        </w:rPr>
      </w:pPr>
    </w:p>
    <w:p>
      <w:pPr>
        <w:pStyle w:val="style0"/>
        <w:autoSpaceDE w:val="false"/>
        <w:autoSpaceDN w:val="false"/>
        <w:adjustRightInd w:val="false"/>
        <w:spacing w:lineRule="auto" w:line="240"/>
        <w:ind w:left="851" w:hanging="851"/>
        <w:jc w:val="both"/>
        <w:rPr>
          <w:noProof/>
          <w:sz w:val="24"/>
          <w:szCs w:val="24"/>
        </w:rPr>
      </w:pPr>
      <w:r>
        <w:rPr>
          <w:noProof/>
          <w:sz w:val="24"/>
          <w:szCs w:val="24"/>
        </w:rPr>
        <w:t xml:space="preserve">Lopez-Sintas, J., Lamberti, G. and Sukphan, J. (2020) ‘The social structuring of the digital gap in a developing country. The impact of computer and internet access opportunities on internet use in Thailand’, </w:t>
      </w:r>
      <w:r>
        <w:rPr>
          <w:i/>
          <w:iCs/>
          <w:noProof/>
          <w:sz w:val="24"/>
          <w:szCs w:val="24"/>
        </w:rPr>
        <w:t>Technology in Society</w:t>
      </w:r>
      <w:r>
        <w:rPr>
          <w:noProof/>
          <w:sz w:val="24"/>
          <w:szCs w:val="24"/>
        </w:rPr>
        <w:t>. doi: 10.1016/j.techsoc.2020.101433.</w:t>
      </w:r>
    </w:p>
    <w:p>
      <w:pPr>
        <w:pStyle w:val="style0"/>
        <w:autoSpaceDE w:val="false"/>
        <w:autoSpaceDN w:val="false"/>
        <w:adjustRightInd w:val="false"/>
        <w:spacing w:lineRule="auto" w:line="240"/>
        <w:ind w:left="851" w:hanging="851"/>
        <w:jc w:val="both"/>
        <w:rPr>
          <w:noProof/>
          <w:sz w:val="24"/>
          <w:szCs w:val="24"/>
        </w:rPr>
      </w:pPr>
      <w:r>
        <w:rPr>
          <w:sz w:val="24"/>
          <w:szCs w:val="24"/>
        </w:rPr>
        <w:t>Lundine</w:t>
      </w:r>
      <w:r>
        <w:rPr>
          <w:sz w:val="24"/>
          <w:szCs w:val="24"/>
        </w:rPr>
        <w:t xml:space="preserve">, John, </w:t>
      </w:r>
      <w:r>
        <w:rPr>
          <w:sz w:val="24"/>
          <w:szCs w:val="24"/>
        </w:rPr>
        <w:t>Ratna</w:t>
      </w:r>
      <w:r>
        <w:rPr>
          <w:sz w:val="24"/>
          <w:szCs w:val="24"/>
        </w:rPr>
        <w:t xml:space="preserve"> Y. </w:t>
      </w:r>
      <w:r>
        <w:rPr>
          <w:sz w:val="24"/>
          <w:szCs w:val="24"/>
        </w:rPr>
        <w:t>Hadikusumah</w:t>
      </w:r>
      <w:r>
        <w:rPr>
          <w:sz w:val="24"/>
          <w:szCs w:val="24"/>
        </w:rPr>
        <w:t xml:space="preserve">, </w:t>
      </w:r>
      <w:r>
        <w:rPr>
          <w:sz w:val="24"/>
          <w:szCs w:val="24"/>
        </w:rPr>
        <w:t>dan</w:t>
      </w:r>
      <w:r>
        <w:rPr>
          <w:sz w:val="24"/>
          <w:szCs w:val="24"/>
        </w:rPr>
        <w:t xml:space="preserve"> Tata </w:t>
      </w:r>
      <w:r>
        <w:rPr>
          <w:sz w:val="24"/>
          <w:szCs w:val="24"/>
        </w:rPr>
        <w:t>Sudrajat</w:t>
      </w:r>
      <w:r>
        <w:rPr>
          <w:sz w:val="24"/>
          <w:szCs w:val="24"/>
        </w:rPr>
        <w:t xml:space="preserve"> (2013) ‘Indonesia’s Progress on the 2015 MDGs.’ Strategic Review July–September 2013 3 (3): 54–66 [</w:t>
      </w:r>
      <w:r>
        <w:rPr>
          <w:sz w:val="24"/>
          <w:szCs w:val="24"/>
        </w:rPr>
        <w:t>dalam</w:t>
      </w:r>
      <w:r>
        <w:rPr>
          <w:sz w:val="24"/>
          <w:szCs w:val="24"/>
        </w:rPr>
        <w:t xml:space="preserve"> </w:t>
      </w:r>
      <w:r>
        <w:rPr>
          <w:sz w:val="24"/>
          <w:szCs w:val="24"/>
        </w:rPr>
        <w:t>jaringan</w:t>
      </w:r>
      <w:r>
        <w:rPr>
          <w:sz w:val="24"/>
          <w:szCs w:val="24"/>
        </w:rPr>
        <w:t xml:space="preserve">] [19 </w:t>
      </w:r>
      <w:r>
        <w:rPr>
          <w:sz w:val="24"/>
          <w:szCs w:val="24"/>
        </w:rPr>
        <w:t>Juni</w:t>
      </w:r>
      <w:r>
        <w:rPr>
          <w:sz w:val="24"/>
          <w:szCs w:val="24"/>
        </w:rPr>
        <w:t xml:space="preserve"> 2020]. </w:t>
      </w:r>
      <w:r>
        <w:rPr>
          <w:sz w:val="24"/>
          <w:szCs w:val="24"/>
        </w:rPr>
        <w:t>Muttaqin</w:t>
      </w:r>
      <w:r>
        <w:rPr>
          <w:sz w:val="24"/>
          <w:szCs w:val="24"/>
        </w:rPr>
        <w:t xml:space="preserve">, </w:t>
      </w:r>
      <w:r>
        <w:rPr>
          <w:sz w:val="24"/>
          <w:szCs w:val="24"/>
        </w:rPr>
        <w:t>Tatang</w:t>
      </w:r>
      <w:r>
        <w:rPr>
          <w:sz w:val="24"/>
          <w:szCs w:val="24"/>
        </w:rPr>
        <w:t xml:space="preserve"> (2018) ‘Determinants of Unequal Access to and Quality of Education in Indonesia.’</w:t>
      </w:r>
      <w:r>
        <w:rPr>
          <w:sz w:val="24"/>
          <w:szCs w:val="24"/>
        </w:rPr>
        <w:t xml:space="preserve"> </w:t>
      </w:r>
      <w:r>
        <w:rPr>
          <w:sz w:val="24"/>
          <w:szCs w:val="24"/>
        </w:rPr>
        <w:t>Jurnal</w:t>
      </w:r>
      <w:r>
        <w:rPr>
          <w:sz w:val="24"/>
          <w:szCs w:val="24"/>
        </w:rPr>
        <w:t xml:space="preserve"> </w:t>
      </w:r>
      <w:r>
        <w:rPr>
          <w:sz w:val="24"/>
          <w:szCs w:val="24"/>
        </w:rPr>
        <w:t>Perencanaan</w:t>
      </w:r>
      <w:r>
        <w:rPr>
          <w:sz w:val="24"/>
          <w:szCs w:val="24"/>
        </w:rPr>
        <w:t xml:space="preserve"> Pembangunan 2 (1).</w:t>
      </w:r>
      <w:r>
        <w:rPr>
          <w:sz w:val="24"/>
          <w:szCs w:val="24"/>
        </w:rPr>
        <w:t xml:space="preserve"> DOI: 10.36574/jpp.v2i1.27</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Marlina</w:t>
      </w:r>
      <w:r>
        <w:rPr>
          <w:sz w:val="24"/>
          <w:szCs w:val="24"/>
        </w:rPr>
        <w:t xml:space="preserve">, W. A., </w:t>
      </w:r>
      <w:r>
        <w:rPr>
          <w:sz w:val="24"/>
          <w:szCs w:val="24"/>
        </w:rPr>
        <w:t>Rahmi</w:t>
      </w:r>
      <w:r>
        <w:rPr>
          <w:sz w:val="24"/>
          <w:szCs w:val="24"/>
        </w:rPr>
        <w:t xml:space="preserve">, D. Y., &amp; </w:t>
      </w:r>
      <w:r>
        <w:rPr>
          <w:sz w:val="24"/>
          <w:szCs w:val="24"/>
        </w:rPr>
        <w:t>Antoni</w:t>
      </w:r>
      <w:r>
        <w:rPr>
          <w:sz w:val="24"/>
          <w:szCs w:val="24"/>
        </w:rPr>
        <w:t>, R. (2021, February).</w:t>
      </w:r>
      <w:r>
        <w:rPr>
          <w:sz w:val="24"/>
          <w:szCs w:val="24"/>
        </w:rPr>
        <w:t xml:space="preserve"> </w:t>
      </w:r>
      <w:r>
        <w:rPr>
          <w:sz w:val="24"/>
          <w:szCs w:val="24"/>
        </w:rPr>
        <w:t>Blended Learning Methods (</w:t>
      </w:r>
      <w:r>
        <w:rPr>
          <w:sz w:val="24"/>
          <w:szCs w:val="24"/>
        </w:rPr>
        <w:t>Youtube</w:t>
      </w:r>
      <w:r>
        <w:rPr>
          <w:sz w:val="24"/>
          <w:szCs w:val="24"/>
        </w:rPr>
        <w:t>, I-Learn, Zoom Application) in Operation Research Subject.</w:t>
      </w:r>
      <w:r>
        <w:rPr>
          <w:sz w:val="24"/>
          <w:szCs w:val="24"/>
        </w:rPr>
        <w:t xml:space="preserve"> </w:t>
      </w:r>
      <w:r>
        <w:rPr>
          <w:sz w:val="24"/>
          <w:szCs w:val="24"/>
        </w:rPr>
        <w:t>In The 3rd International Conference on Educational Development and Quality Assurance (ICED-QA 2020) (pp. 36-43).</w:t>
      </w:r>
      <w:r>
        <w:rPr>
          <w:sz w:val="24"/>
          <w:szCs w:val="24"/>
        </w:rPr>
        <w:t xml:space="preserve"> </w:t>
      </w:r>
      <w:r>
        <w:rPr>
          <w:sz w:val="24"/>
          <w:szCs w:val="24"/>
        </w:rPr>
        <w:t>Atlantis Press.</w:t>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McGue, M. </w:t>
      </w:r>
      <w:r>
        <w:rPr>
          <w:i/>
          <w:iCs/>
          <w:noProof/>
          <w:sz w:val="24"/>
          <w:szCs w:val="24"/>
        </w:rPr>
        <w:t>et al.</w:t>
      </w:r>
      <w:r>
        <w:rPr>
          <w:noProof/>
          <w:sz w:val="24"/>
          <w:szCs w:val="24"/>
        </w:rPr>
        <w:t xml:space="preserve"> (2020) ‘The Contribution of Cognitive and Noncognitive Skills to Intergenerational Social Mobility’, </w:t>
      </w:r>
      <w:r>
        <w:rPr>
          <w:i/>
          <w:iCs/>
          <w:noProof/>
          <w:sz w:val="24"/>
          <w:szCs w:val="24"/>
        </w:rPr>
        <w:t>Psychological Science</w:t>
      </w:r>
      <w:r>
        <w:rPr>
          <w:noProof/>
          <w:sz w:val="24"/>
          <w:szCs w:val="24"/>
        </w:rPr>
        <w:t>. doi: 10.1177/0956797620924677.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Mohmmed, A. O. </w:t>
      </w:r>
      <w:r>
        <w:rPr>
          <w:i/>
          <w:iCs/>
          <w:noProof/>
          <w:sz w:val="24"/>
          <w:szCs w:val="24"/>
        </w:rPr>
        <w:t>et al.</w:t>
      </w:r>
      <w:r>
        <w:rPr>
          <w:noProof/>
          <w:sz w:val="24"/>
          <w:szCs w:val="24"/>
        </w:rPr>
        <w:t xml:space="preserve"> (2020) ‘Emergency remote teaching during Coronavirus pandemic: the current trend and future directive at Middle East College Oman’, </w:t>
      </w:r>
      <w:r>
        <w:rPr>
          <w:i/>
          <w:iCs/>
          <w:noProof/>
          <w:sz w:val="24"/>
          <w:szCs w:val="24"/>
        </w:rPr>
        <w:t>Innovative Infrastructure Solutions</w:t>
      </w:r>
      <w:r>
        <w:rPr>
          <w:noProof/>
          <w:sz w:val="24"/>
          <w:szCs w:val="24"/>
        </w:rPr>
        <w:t>. doi: 10.1007/s41062-020-00326-7.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Mok, K. H. </w:t>
      </w:r>
      <w:r>
        <w:rPr>
          <w:i/>
          <w:iCs/>
          <w:noProof/>
          <w:sz w:val="24"/>
          <w:szCs w:val="24"/>
        </w:rPr>
        <w:t>et al.</w:t>
      </w:r>
      <w:r>
        <w:rPr>
          <w:noProof/>
          <w:sz w:val="24"/>
          <w:szCs w:val="24"/>
        </w:rPr>
        <w:t xml:space="preserve"> (2021) ‘Impact of COVID-19 pandemic on international higher education and student mobility: Student perspectives from mainland China </w:t>
      </w:r>
      <w:r>
        <w:rPr>
          <w:noProof/>
          <w:sz w:val="24"/>
          <w:szCs w:val="24"/>
        </w:rPr>
        <w:t xml:space="preserve">and Hong Kong’, </w:t>
      </w:r>
      <w:r>
        <w:rPr>
          <w:i/>
          <w:iCs/>
          <w:noProof/>
          <w:sz w:val="24"/>
          <w:szCs w:val="24"/>
        </w:rPr>
        <w:t>International Journal of Educational Research</w:t>
      </w:r>
      <w:r>
        <w:rPr>
          <w:noProof/>
          <w:sz w:val="24"/>
          <w:szCs w:val="24"/>
        </w:rPr>
        <w:t>. doi: 10.1016/j.ijer.2020.101718.</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Odriozola-Chéné, J. </w:t>
      </w:r>
      <w:r>
        <w:rPr>
          <w:i/>
          <w:iCs/>
          <w:noProof/>
          <w:sz w:val="24"/>
          <w:szCs w:val="24"/>
        </w:rPr>
        <w:t>et al.</w:t>
      </w:r>
      <w:r>
        <w:rPr>
          <w:noProof/>
          <w:sz w:val="24"/>
          <w:szCs w:val="24"/>
        </w:rPr>
        <w:t xml:space="preserve"> (2020) ‘Inequality in times of pandemics: How online media are starting to treat the economic consequences of the coronavirus crisis’, </w:t>
      </w:r>
      <w:r>
        <w:rPr>
          <w:i/>
          <w:iCs/>
          <w:noProof/>
          <w:sz w:val="24"/>
          <w:szCs w:val="24"/>
        </w:rPr>
        <w:t>Profesional de la Informacion</w:t>
      </w:r>
      <w:r>
        <w:rPr>
          <w:noProof/>
          <w:sz w:val="24"/>
          <w:szCs w:val="24"/>
        </w:rPr>
        <w:t>. doi: 10.3145/epi.2020.jul.03.</w:t>
      </w:r>
    </w:p>
    <w:p>
      <w:pPr>
        <w:pStyle w:val="style0"/>
        <w:spacing w:lineRule="auto" w:line="240"/>
        <w:jc w:val="both"/>
        <w:rPr>
          <w:sz w:val="24"/>
          <w:szCs w:val="24"/>
        </w:rPr>
      </w:pPr>
    </w:p>
    <w:p>
      <w:pPr>
        <w:pStyle w:val="style0"/>
        <w:spacing w:lineRule="auto" w:line="240"/>
        <w:ind w:left="851" w:hanging="851"/>
        <w:jc w:val="both"/>
        <w:rPr>
          <w:sz w:val="24"/>
          <w:szCs w:val="24"/>
        </w:rPr>
      </w:pPr>
      <w:r>
        <w:rPr>
          <w:sz w:val="24"/>
          <w:szCs w:val="24"/>
        </w:rPr>
        <w:t>Olasile</w:t>
      </w:r>
      <w:r>
        <w:rPr>
          <w:sz w:val="24"/>
          <w:szCs w:val="24"/>
        </w:rPr>
        <w:t xml:space="preserve"> </w:t>
      </w:r>
      <w:r>
        <w:rPr>
          <w:sz w:val="24"/>
          <w:szCs w:val="24"/>
        </w:rPr>
        <w:t>Babatunde</w:t>
      </w:r>
      <w:r>
        <w:rPr>
          <w:sz w:val="24"/>
          <w:szCs w:val="24"/>
        </w:rPr>
        <w:t xml:space="preserve"> </w:t>
      </w:r>
      <w:r>
        <w:rPr>
          <w:sz w:val="24"/>
          <w:szCs w:val="24"/>
        </w:rPr>
        <w:t>Adedoyin</w:t>
      </w:r>
      <w:r>
        <w:rPr>
          <w:sz w:val="24"/>
          <w:szCs w:val="24"/>
        </w:rPr>
        <w:t xml:space="preserve"> &amp; </w:t>
      </w:r>
      <w:r>
        <w:rPr>
          <w:sz w:val="24"/>
          <w:szCs w:val="24"/>
        </w:rPr>
        <w:t>Emrah</w:t>
      </w:r>
      <w:r>
        <w:rPr>
          <w:sz w:val="24"/>
          <w:szCs w:val="24"/>
        </w:rPr>
        <w:t xml:space="preserve"> </w:t>
      </w:r>
      <w:r>
        <w:rPr>
          <w:sz w:val="24"/>
          <w:szCs w:val="24"/>
        </w:rPr>
        <w:t>Soykan</w:t>
      </w:r>
      <w:r>
        <w:rPr>
          <w:sz w:val="24"/>
          <w:szCs w:val="24"/>
        </w:rPr>
        <w:t xml:space="preserve"> (2020): Covid-19 pandemic and online learning: the challenges and opportunities, Interactive Learning Environments, DOI: 10.1080/10494820.2020.1813180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Phiri, K. </w:t>
      </w:r>
      <w:r>
        <w:rPr>
          <w:i/>
          <w:iCs/>
          <w:noProof/>
          <w:sz w:val="24"/>
          <w:szCs w:val="24"/>
        </w:rPr>
        <w:t>et al.</w:t>
      </w:r>
      <w:r>
        <w:rPr>
          <w:noProof/>
          <w:sz w:val="24"/>
          <w:szCs w:val="24"/>
        </w:rPr>
        <w:t xml:space="preserve"> (2020) ‘Access to formal education for the San community in Tsholotsho, Zimbabwe: challenges and prospects’, </w:t>
      </w:r>
      <w:r>
        <w:rPr>
          <w:i/>
          <w:iCs/>
          <w:noProof/>
          <w:sz w:val="24"/>
          <w:szCs w:val="24"/>
        </w:rPr>
        <w:t>Heliyon</w:t>
      </w:r>
      <w:r>
        <w:rPr>
          <w:noProof/>
          <w:sz w:val="24"/>
          <w:szCs w:val="24"/>
        </w:rPr>
        <w:t>. doi: 10.1016/j.heliyon.2020.e04470.</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Qi, D. and Wu, Y. (2020) ‘Family’s social economic status and child educational outcomes in China: The mediating effects of parenting practices and children’s learning attitudes’, </w:t>
      </w:r>
      <w:r>
        <w:rPr>
          <w:i/>
          <w:iCs/>
          <w:noProof/>
          <w:sz w:val="24"/>
          <w:szCs w:val="24"/>
        </w:rPr>
        <w:t>Children and Youth Services Review</w:t>
      </w:r>
      <w:r>
        <w:rPr>
          <w:noProof/>
          <w:sz w:val="24"/>
          <w:szCs w:val="24"/>
        </w:rPr>
        <w:t>. doi: 10.1016/j.childyouth.2020.105387.</w:t>
      </w:r>
    </w:p>
    <w:p>
      <w:pPr>
        <w:pStyle w:val="style0"/>
        <w:autoSpaceDE w:val="false"/>
        <w:autoSpaceDN w:val="false"/>
        <w:adjustRightInd w:val="false"/>
        <w:spacing w:lineRule="auto" w:line="240"/>
        <w:ind w:left="993" w:hanging="993"/>
        <w:jc w:val="both"/>
        <w:rPr>
          <w:noProof/>
          <w:sz w:val="24"/>
          <w:szCs w:val="24"/>
        </w:rPr>
      </w:pPr>
      <w:r>
        <w:rPr>
          <w:sz w:val="24"/>
          <w:szCs w:val="24"/>
        </w:rPr>
        <w:t>Reay</w:t>
      </w:r>
      <w:r>
        <w:rPr>
          <w:sz w:val="24"/>
          <w:szCs w:val="24"/>
        </w:rPr>
        <w:t xml:space="preserve">, D. (2009) ‘Sociology, social class and education’, in The </w:t>
      </w:r>
      <w:r>
        <w:rPr>
          <w:sz w:val="24"/>
          <w:szCs w:val="24"/>
        </w:rPr>
        <w:t>Routledge</w:t>
      </w:r>
      <w:r>
        <w:rPr>
          <w:sz w:val="24"/>
          <w:szCs w:val="24"/>
        </w:rPr>
        <w:t xml:space="preserve"> International Handbook of the Sociology of Education.</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Rianto, A. (2021) ‘Indonesian efl university students’ metacognitive online reading strategies before and during the covid-19 pandemic’, </w:t>
      </w:r>
      <w:r>
        <w:rPr>
          <w:i/>
          <w:iCs/>
          <w:noProof/>
          <w:sz w:val="24"/>
          <w:szCs w:val="24"/>
        </w:rPr>
        <w:t>Studies in English Language and Education</w:t>
      </w:r>
      <w:r>
        <w:rPr>
          <w:noProof/>
          <w:sz w:val="24"/>
          <w:szCs w:val="24"/>
        </w:rPr>
        <w:t>. doi: 10.24815/siele.v8i1.18110.</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Sahlberg, P. (2020) ‘Does the pandemic help us make education more equitable?’, </w:t>
      </w:r>
      <w:r>
        <w:rPr>
          <w:i/>
          <w:iCs/>
          <w:noProof/>
          <w:sz w:val="24"/>
          <w:szCs w:val="24"/>
        </w:rPr>
        <w:t>Educational Research for Policy and Practice</w:t>
      </w:r>
      <w:r>
        <w:rPr>
          <w:noProof/>
          <w:sz w:val="24"/>
          <w:szCs w:val="24"/>
        </w:rPr>
        <w:t>. doi: 10.1007/s10671-020-09284-4.</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Schwartzman, R. (2020) ‘Performing pandemic pedagogy’, </w:t>
      </w:r>
      <w:r>
        <w:rPr>
          <w:i/>
          <w:iCs/>
          <w:noProof/>
          <w:sz w:val="24"/>
          <w:szCs w:val="24"/>
        </w:rPr>
        <w:t>Communication Education</w:t>
      </w:r>
      <w:r>
        <w:rPr>
          <w:noProof/>
          <w:sz w:val="24"/>
          <w:szCs w:val="24"/>
        </w:rPr>
        <w:t>. doi: 10.1080/03634523.2020.1804602</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Tareen, H. and Haand, M. T. (2020) ‘A Case Study of UiTM Post- Graduate Students ’ Perceptions on Online Learning : Benefits &amp; Challenges’, </w:t>
      </w:r>
      <w:r>
        <w:rPr>
          <w:i/>
          <w:iCs/>
          <w:noProof/>
          <w:sz w:val="24"/>
          <w:szCs w:val="24"/>
        </w:rPr>
        <w:t>International Journal of Advanced Research and Publications</w:t>
      </w:r>
      <w:r>
        <w:rPr>
          <w:noProof/>
          <w:sz w:val="24"/>
          <w:szCs w:val="24"/>
        </w:rPr>
        <w:t>, (June).</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Unger, S. and Meiran, W. (2020) ‘Student Attitudes Towards Online Education during the COVID-19 Viral Outbreak of 2020: Distance Learning in a Time of Social Distance’, </w:t>
      </w:r>
      <w:r>
        <w:rPr>
          <w:i/>
          <w:iCs/>
          <w:noProof/>
          <w:sz w:val="24"/>
          <w:szCs w:val="24"/>
        </w:rPr>
        <w:t>International Journal of Technology in Education and Science</w:t>
      </w:r>
      <w:r>
        <w:rPr>
          <w:noProof/>
          <w:sz w:val="24"/>
          <w:szCs w:val="24"/>
        </w:rPr>
        <w:t>. doi: 10.46328/ijtes.v4i4.107.</w:t>
      </w: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Wang, Y., Liu, X. and Zhang, Z. (2018) ‘An overview of e-learning in China: History, challenges and opportunities’, </w:t>
      </w:r>
      <w:r>
        <w:rPr>
          <w:i/>
          <w:iCs/>
          <w:noProof/>
          <w:sz w:val="24"/>
          <w:szCs w:val="24"/>
        </w:rPr>
        <w:t>Research in Comparative and International Education</w:t>
      </w:r>
      <w:r>
        <w:rPr>
          <w:noProof/>
          <w:sz w:val="24"/>
          <w:szCs w:val="24"/>
        </w:rPr>
        <w:t>, 13(1), pp. 195–210. doi: 10.1177/1745499918763421.</w:t>
      </w:r>
    </w:p>
    <w:p>
      <w:pPr>
        <w:pStyle w:val="style0"/>
        <w:spacing w:lineRule="auto" w:line="240"/>
        <w:ind w:left="851" w:hanging="851"/>
        <w:jc w:val="both"/>
        <w:rPr>
          <w:sz w:val="24"/>
          <w:szCs w:val="24"/>
        </w:rPr>
      </w:pPr>
      <w:r>
        <w:rPr>
          <w:sz w:val="24"/>
          <w:szCs w:val="24"/>
        </w:rPr>
        <w:t xml:space="preserve">Wan Hassan, W. A. S., </w:t>
      </w:r>
      <w:r>
        <w:rPr>
          <w:sz w:val="24"/>
          <w:szCs w:val="24"/>
        </w:rPr>
        <w:t>Ariffin</w:t>
      </w:r>
      <w:r>
        <w:rPr>
          <w:sz w:val="24"/>
          <w:szCs w:val="24"/>
        </w:rPr>
        <w:t xml:space="preserve">, A., Ahmad, F., </w:t>
      </w:r>
      <w:r>
        <w:rPr>
          <w:sz w:val="24"/>
          <w:szCs w:val="24"/>
        </w:rPr>
        <w:t>Sharberi</w:t>
      </w:r>
      <w:r>
        <w:rPr>
          <w:sz w:val="24"/>
          <w:szCs w:val="24"/>
        </w:rPr>
        <w:t xml:space="preserve">, S. N. M., Nor </w:t>
      </w:r>
      <w:r>
        <w:rPr>
          <w:sz w:val="24"/>
          <w:szCs w:val="24"/>
        </w:rPr>
        <w:t>Azizi</w:t>
      </w:r>
      <w:r>
        <w:rPr>
          <w:sz w:val="24"/>
          <w:szCs w:val="24"/>
        </w:rPr>
        <w:t xml:space="preserve">, M. I., &amp; </w:t>
      </w:r>
      <w:r>
        <w:rPr>
          <w:sz w:val="24"/>
          <w:szCs w:val="24"/>
        </w:rPr>
        <w:t>Zulkiflee</w:t>
      </w:r>
      <w:r>
        <w:rPr>
          <w:sz w:val="24"/>
          <w:szCs w:val="24"/>
        </w:rPr>
        <w:t xml:space="preserve">, S. N. (2020). Covid-19 pandemic: </w:t>
      </w:r>
      <w:r>
        <w:rPr>
          <w:sz w:val="24"/>
          <w:szCs w:val="24"/>
        </w:rPr>
        <w:t>Langkawi</w:t>
      </w:r>
      <w:r>
        <w:rPr>
          <w:sz w:val="24"/>
          <w:szCs w:val="24"/>
        </w:rPr>
        <w:t xml:space="preserve"> vocational college student challenge in using </w:t>
      </w:r>
      <w:r>
        <w:rPr>
          <w:sz w:val="24"/>
          <w:szCs w:val="24"/>
        </w:rPr>
        <w:t>google</w:t>
      </w:r>
      <w:r>
        <w:rPr>
          <w:sz w:val="24"/>
          <w:szCs w:val="24"/>
        </w:rPr>
        <w:t xml:space="preserve"> classroom for teaching and learning (</w:t>
      </w:r>
      <w:r>
        <w:rPr>
          <w:sz w:val="24"/>
          <w:szCs w:val="24"/>
        </w:rPr>
        <w:t>t&amp;l</w:t>
      </w:r>
      <w:r>
        <w:rPr>
          <w:sz w:val="24"/>
          <w:szCs w:val="24"/>
        </w:rPr>
        <w:t xml:space="preserve">). </w:t>
      </w:r>
      <w:r>
        <w:rPr>
          <w:sz w:val="24"/>
          <w:szCs w:val="24"/>
        </w:rPr>
        <w:t>International Journal of Advanced Trends in Computer Science and Engineering, 9(3), 3299-3307.</w:t>
      </w:r>
      <w:r>
        <w:rPr>
          <w:sz w:val="24"/>
          <w:szCs w:val="24"/>
        </w:rPr>
        <w:t xml:space="preserve"> doi:10.30534/</w:t>
      </w:r>
      <w:r>
        <w:rPr>
          <w:sz w:val="24"/>
          <w:szCs w:val="24"/>
        </w:rPr>
        <w:t>ijatcse</w:t>
      </w:r>
      <w:r>
        <w:rPr>
          <w:sz w:val="24"/>
          <w:szCs w:val="24"/>
        </w:rPr>
        <w:t xml:space="preserve">/2020/127932020 </w:t>
      </w:r>
    </w:p>
    <w:p>
      <w:pPr>
        <w:pStyle w:val="style0"/>
        <w:spacing w:lineRule="auto" w:line="240"/>
        <w:ind w:left="851" w:hanging="851"/>
        <w:jc w:val="both"/>
        <w:rPr>
          <w:sz w:val="24"/>
          <w:szCs w:val="24"/>
        </w:rPr>
      </w:pPr>
    </w:p>
    <w:p>
      <w:pPr>
        <w:pStyle w:val="style0"/>
        <w:spacing w:lineRule="auto" w:line="240"/>
        <w:ind w:left="851" w:hanging="851"/>
        <w:jc w:val="both"/>
        <w:rPr>
          <w:sz w:val="24"/>
          <w:szCs w:val="24"/>
        </w:rPr>
      </w:pPr>
      <w:r>
        <w:rPr>
          <w:sz w:val="24"/>
          <w:szCs w:val="24"/>
        </w:rPr>
        <w:t>Weisbrot</w:t>
      </w:r>
      <w:r>
        <w:rPr>
          <w:sz w:val="24"/>
          <w:szCs w:val="24"/>
        </w:rPr>
        <w:t xml:space="preserve">, D. M., &amp; </w:t>
      </w:r>
      <w:r>
        <w:rPr>
          <w:sz w:val="24"/>
          <w:szCs w:val="24"/>
        </w:rPr>
        <w:t>Ryst</w:t>
      </w:r>
      <w:r>
        <w:rPr>
          <w:sz w:val="24"/>
          <w:szCs w:val="24"/>
        </w:rPr>
        <w:t>, E. (2020).</w:t>
      </w:r>
      <w:r>
        <w:rPr>
          <w:sz w:val="24"/>
          <w:szCs w:val="24"/>
        </w:rPr>
        <w:t xml:space="preserve"> Debate: Student mental health matters – the heightened need for school-based mental health in the era of COVID-19. </w:t>
      </w:r>
      <w:r>
        <w:rPr>
          <w:sz w:val="24"/>
          <w:szCs w:val="24"/>
        </w:rPr>
        <w:t>Child and Adolescent Mental Health.</w:t>
      </w:r>
      <w:r>
        <w:rPr>
          <w:sz w:val="24"/>
          <w:szCs w:val="24"/>
        </w:rPr>
        <w:t xml:space="preserve"> </w:t>
      </w:r>
      <w:r>
        <w:rPr/>
        <w:fldChar w:fldCharType="begin"/>
      </w:r>
      <w:r>
        <w:instrText xml:space="preserve"> HYPERLINK "https://doi.org/10.1111/camh.12427" </w:instrText>
      </w:r>
      <w:r>
        <w:rPr/>
        <w:fldChar w:fldCharType="separate"/>
      </w:r>
      <w:r>
        <w:rPr>
          <w:rStyle w:val="style85"/>
          <w:sz w:val="24"/>
          <w:szCs w:val="24"/>
        </w:rPr>
        <w:t>https://doi.org/10.1111/camh.12427</w:t>
      </w:r>
      <w:r>
        <w:rPr/>
        <w:fldChar w:fldCharType="end"/>
      </w:r>
      <w:r>
        <w:rPr>
          <w:sz w:val="24"/>
          <w:szCs w:val="24"/>
        </w:rPr>
        <w:t xml:space="preserve"> </w:t>
      </w:r>
    </w:p>
    <w:p>
      <w:pPr>
        <w:pStyle w:val="style0"/>
        <w:spacing w:lineRule="auto" w:line="240"/>
        <w:ind w:left="851" w:hanging="851"/>
        <w:jc w:val="both"/>
        <w:rPr>
          <w:sz w:val="24"/>
          <w:szCs w:val="24"/>
        </w:rPr>
      </w:pPr>
    </w:p>
    <w:p>
      <w:pPr>
        <w:pStyle w:val="style0"/>
        <w:autoSpaceDE w:val="false"/>
        <w:autoSpaceDN w:val="false"/>
        <w:adjustRightInd w:val="false"/>
        <w:spacing w:lineRule="auto" w:line="240"/>
        <w:ind w:left="993" w:hanging="993"/>
        <w:jc w:val="both"/>
        <w:rPr>
          <w:noProof/>
          <w:sz w:val="24"/>
          <w:szCs w:val="24"/>
        </w:rPr>
      </w:pPr>
      <w:r>
        <w:rPr>
          <w:noProof/>
          <w:sz w:val="24"/>
          <w:szCs w:val="24"/>
        </w:rPr>
        <w:t xml:space="preserve">Williams, W. R. and Reppond, H. A. (2020) ‘More Than Just Hard Work: Educational Policies to Facilitate Economic Mobility’, </w:t>
      </w:r>
      <w:r>
        <w:rPr>
          <w:i/>
          <w:iCs/>
          <w:noProof/>
          <w:sz w:val="24"/>
          <w:szCs w:val="24"/>
        </w:rPr>
        <w:t>Policy Insights from the Behavioral and Brain Sciences</w:t>
      </w:r>
      <w:r>
        <w:rPr>
          <w:noProof/>
          <w:sz w:val="24"/>
          <w:szCs w:val="24"/>
        </w:rPr>
        <w:t>. doi: 10.1177/2372732220943912.</w:t>
      </w:r>
    </w:p>
    <w:p>
      <w:pPr>
        <w:pStyle w:val="style0"/>
        <w:spacing w:lineRule="auto" w:line="240"/>
        <w:ind w:left="851" w:hanging="851"/>
        <w:jc w:val="both"/>
        <w:rPr>
          <w:rStyle w:val="style85"/>
          <w:sz w:val="24"/>
          <w:szCs w:val="24"/>
        </w:rPr>
      </w:pPr>
      <w:r>
        <w:rPr>
          <w:sz w:val="24"/>
          <w:szCs w:val="24"/>
        </w:rPr>
        <w:t xml:space="preserve">Yang, D., </w:t>
      </w:r>
      <w:r>
        <w:rPr>
          <w:sz w:val="24"/>
          <w:szCs w:val="24"/>
        </w:rPr>
        <w:t>Swekwi</w:t>
      </w:r>
      <w:r>
        <w:rPr>
          <w:sz w:val="24"/>
          <w:szCs w:val="24"/>
        </w:rPr>
        <w:t xml:space="preserve">, U., </w:t>
      </w:r>
      <w:r>
        <w:rPr>
          <w:sz w:val="24"/>
          <w:szCs w:val="24"/>
        </w:rPr>
        <w:t>Tu</w:t>
      </w:r>
      <w:r>
        <w:rPr>
          <w:sz w:val="24"/>
          <w:szCs w:val="24"/>
        </w:rPr>
        <w:t>, C. C., &amp; Dai, X. (2020).</w:t>
      </w:r>
      <w:r>
        <w:rPr>
          <w:sz w:val="24"/>
          <w:szCs w:val="24"/>
        </w:rPr>
        <w:t xml:space="preserve"> Psychological effects of the COVID-19 pandemic on Wuhan’s high school students. </w:t>
      </w:r>
      <w:r>
        <w:rPr>
          <w:sz w:val="24"/>
          <w:szCs w:val="24"/>
        </w:rPr>
        <w:t>Children and Youth Services Review.</w:t>
      </w:r>
      <w:r>
        <w:rPr>
          <w:sz w:val="24"/>
          <w:szCs w:val="24"/>
        </w:rPr>
        <w:t xml:space="preserve"> </w:t>
      </w:r>
      <w:r>
        <w:rPr/>
        <w:fldChar w:fldCharType="begin"/>
      </w:r>
      <w:r>
        <w:instrText xml:space="preserve"> HYPERLINK "https://doi.org/10.1016/j.childyouth.2020.105634" </w:instrText>
      </w:r>
      <w:r>
        <w:rPr/>
        <w:fldChar w:fldCharType="separate"/>
      </w:r>
      <w:r>
        <w:rPr>
          <w:rStyle w:val="style85"/>
          <w:sz w:val="24"/>
          <w:szCs w:val="24"/>
        </w:rPr>
        <w:t>https://doi.org/10.1016/j.childyouth.2020.105634</w:t>
      </w:r>
      <w:r>
        <w:rPr/>
        <w:fldChar w:fldCharType="end"/>
      </w:r>
    </w:p>
    <w:p>
      <w:pPr>
        <w:pStyle w:val="style0"/>
        <w:spacing w:lineRule="auto" w:line="240"/>
        <w:ind w:left="851" w:hanging="851"/>
        <w:jc w:val="both"/>
        <w:rPr>
          <w:rStyle w:val="style85"/>
          <w:sz w:val="24"/>
          <w:szCs w:val="24"/>
        </w:rPr>
      </w:pPr>
    </w:p>
    <w:p>
      <w:pPr>
        <w:pStyle w:val="style0"/>
        <w:spacing w:lineRule="auto" w:line="240"/>
        <w:ind w:left="851" w:hanging="851"/>
        <w:jc w:val="both"/>
        <w:rPr>
          <w:rStyle w:val="style85"/>
          <w:sz w:val="24"/>
          <w:szCs w:val="24"/>
        </w:rPr>
      </w:pPr>
    </w:p>
    <w:p>
      <w:pPr>
        <w:pStyle w:val="style0"/>
        <w:spacing w:lineRule="auto" w:line="240"/>
        <w:ind w:left="851" w:hanging="851"/>
        <w:jc w:val="both"/>
        <w:rPr>
          <w:rStyle w:val="style85"/>
          <w:sz w:val="24"/>
          <w:szCs w:val="24"/>
        </w:rPr>
      </w:pPr>
    </w:p>
    <w:p>
      <w:pPr>
        <w:pStyle w:val="style0"/>
        <w:rPr/>
      </w:pPr>
    </w:p>
    <w:sectPr>
      <w:footerReference w:type="even" r:id="rId11"/>
      <w:footerReference w:type="default" r:id="rId12"/>
      <w:headerReference w:type="first" r:id="rId13"/>
      <w:footerReference w:type="first" r:id="rId14"/>
      <w:footnotePr>
        <w:numFmt w:val="chicago"/>
      </w:footnotePr>
      <w:pgSz w:w="11907" w:h="16840" w:orient="portrait" w:code="9"/>
      <w:pgMar w:top="1134" w:right="1701" w:bottom="1701" w:left="1701" w:header="709" w:footer="475" w:gutter="0"/>
      <w:pgNumType w:start="1"/>
      <w:cols w:space="720"/>
      <w:titlePg/>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Author" w:initials="A">
    <w:p w14:paraId="1">
      <w:pPr>
        <w:pStyle w:val="style30"/>
        <w:rPr/>
      </w:pPr>
      <w:r>
        <w:rPr>
          <w:rStyle w:val="style39"/>
        </w:rPr>
        <w:annotationRef/>
      </w:r>
      <w:r>
        <w:t>what</w:t>
      </w:r>
      <w:r>
        <w:t xml:space="preserve"> is the problem of this research. It needs to be explained in detail</w:t>
      </w:r>
    </w:p>
  </w:comment>
  <w:comment w:id="2" w:author="Author" w:initials="A">
    <w:p>
      <w:pPr>
        <w:pStyle w:val="style30"/>
        <w:rPr>
          <w:lang w:val="id-ID"/>
        </w:rPr>
      </w:pPr>
      <w:r>
        <w:rPr>
          <w:rStyle w:val="style39"/>
        </w:rPr>
        <w:annotationRef/>
      </w:r>
      <w:r>
        <w:t>present</w:t>
      </w:r>
      <w:r>
        <w:t xml:space="preserve"> what happened in the field and interesting to study</w:t>
      </w:r>
    </w:p>
    <w:p>
      <w:pPr>
        <w:pStyle w:val="style30"/>
        <w:rPr>
          <w:lang w:val="id-ID"/>
        </w:rPr>
      </w:pPr>
    </w:p>
    <w:p w14:paraId="2">
      <w:pPr>
        <w:pStyle w:val="style30"/>
        <w:rPr>
          <w:lang w:val="id-ID"/>
        </w:rPr>
      </w:pPr>
      <w:r>
        <w:rPr>
          <w:lang w:val="id-ID"/>
        </w:rPr>
        <w:t>Furthermore, to position this research, you need to present previous research</w:t>
      </w:r>
    </w:p>
  </w:comment>
  <w:comment w:id="3" w:author="Author" w:initials="A">
    <w:p w14:paraId="3">
      <w:pPr>
        <w:pStyle w:val="style30"/>
        <w:rPr/>
      </w:pPr>
      <w:r>
        <w:rPr>
          <w:rStyle w:val="style39"/>
        </w:rPr>
        <w:annotationRef/>
      </w:r>
      <w:r>
        <w:t>how</w:t>
      </w:r>
      <w:r>
        <w:t xml:space="preserve"> many informants, anyone</w:t>
      </w:r>
    </w:p>
  </w:comment>
  <w:comment w:id="4" w:author="Author" w:initials="A">
    <w:p w14:paraId="4">
      <w:pPr>
        <w:pStyle w:val="style30"/>
        <w:rPr/>
      </w:pPr>
      <w:r>
        <w:rPr>
          <w:rStyle w:val="style39"/>
        </w:rPr>
        <w:annotationRef/>
      </w:r>
      <w:r>
        <w:t>The researcher's contribution needs to be clarified, so that it is visible</w:t>
      </w:r>
      <w:bookmarkStart w:id="0" w:name="_GoBack"/>
      <w:bookmarkEnd w:id="0"/>
    </w:p>
  </w:comment>
  <w:comment w:id="5" w:author="Author" w:initials="A">
    <w:p>
      <w:pPr>
        <w:pStyle w:val="style30"/>
        <w:rPr>
          <w:lang w:val="id-ID"/>
        </w:rPr>
      </w:pPr>
      <w:r>
        <w:rPr>
          <w:rStyle w:val="style39"/>
        </w:rPr>
        <w:annotationRef/>
      </w:r>
      <w:r>
        <w:rPr>
          <w:lang w:val="id-ID"/>
        </w:rPr>
        <w:t>Diskusi hasil penelitian masih belum ada.... Perkuat pemhahasan dengan teori yang ada</w:t>
      </w:r>
    </w:p>
    <w:p>
      <w:pPr>
        <w:pStyle w:val="style30"/>
        <w:rPr>
          <w:lang w:val="id-ID"/>
        </w:rPr>
      </w:pPr>
    </w:p>
    <w:p w14:paraId="5">
      <w:pPr>
        <w:pStyle w:val="style30"/>
        <w:rPr>
          <w:lang w:val="id-ID"/>
        </w:rPr>
      </w:pPr>
    </w:p>
  </w:comment>
  <w:comment w:id="6" w:author="Author" w:initials="A">
    <w:p w14:paraId="6">
      <w:pPr>
        <w:pStyle w:val="style30"/>
        <w:rPr>
          <w:lang w:val="id-ID"/>
        </w:rPr>
      </w:pPr>
      <w:r>
        <w:rPr>
          <w:rStyle w:val="style39"/>
        </w:rPr>
        <w:annotationRef/>
      </w:r>
      <w:r>
        <w:rPr>
          <w:lang w:val="id-ID"/>
        </w:rPr>
        <w:t>Jangan di pisah</w:t>
      </w:r>
    </w:p>
  </w:comment>
  <w:comment w:id="7" w:author="Author" w:initials="A">
    <w:p w14:paraId="7">
      <w:pPr>
        <w:pStyle w:val="style30"/>
        <w:rPr>
          <w:lang w:val="id-ID"/>
        </w:rPr>
      </w:pPr>
      <w:r>
        <w:rPr>
          <w:rStyle w:val="style39"/>
        </w:rPr>
        <w:annotationRef/>
      </w:r>
      <w:r>
        <w:rPr>
          <w:lang w:val="id-ID"/>
        </w:rPr>
        <w:t>Cek penulisan referensi</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Book Antiqua">
    <w:altName w:val="Book Antiqua"/>
    <w:panose1 w:val="02040602050003030304"/>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Palatino Linotype">
    <w:altName w:val="Palatino Linotype"/>
    <w:panose1 w:val="02040502050005030304"/>
    <w:charset w:val="00"/>
    <w:family w:val="roman"/>
    <w:pitch w:val="variable"/>
    <w:sig w:usb0="E0000287" w:usb1="40000013" w:usb2="00000000" w:usb3="00000000" w:csb0="0000019F" w:csb1="00000000"/>
  </w:font>
  <w:font w:name="Segoe UI Symbol">
    <w:altName w:val="Segoe UI Symbol"/>
    <w:panose1 w:val="020b0502040002020203"/>
    <w:charset w:val="00"/>
    <w:family w:val="swiss"/>
    <w:pitch w:val="variable"/>
    <w:sig w:usb0="800001E3" w:usb1="1200FFEF" w:usb2="0064C000" w:usb3="00000000" w:csb0="00000001" w:csb1="00000000"/>
  </w:font>
  <w:font w:name="Garamond">
    <w:altName w:val="Garamond"/>
    <w:panose1 w:val="020204040300030108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after="0" w:lineRule="auto" w:line="240"/>
      <w:rPr>
        <w:rFonts w:ascii="Garamond" w:cs="Times New Roman" w:hAnsi="Garamond"/>
        <w:iCs/>
        <w:sz w:val="16"/>
        <w:szCs w:val="16"/>
        <w:lang w:val="id-ID"/>
      </w:rPr>
    </w:pPr>
    <w:r>
      <w:rPr>
        <w:rFonts w:ascii="Book Antiqua" w:hAnsi="Book Antiqua"/>
        <w:sz w:val="20"/>
        <w:lang w:val="id-ID" w:eastAsia="id-ID"/>
      </w:rPr>
      <mc:AlternateContent>
        <mc:Choice Requires="wps">
          <w:drawing>
            <wp:anchor distT="0" distB="0" distL="0" distR="0" simplePos="false" relativeHeight="3" behindDoc="false" locked="false" layoutInCell="true" allowOverlap="true">
              <wp:simplePos x="0" y="0"/>
              <wp:positionH relativeFrom="column">
                <wp:posOffset>214629</wp:posOffset>
              </wp:positionH>
              <wp:positionV relativeFrom="paragraph">
                <wp:posOffset>0</wp:posOffset>
              </wp:positionV>
              <wp:extent cx="0" cy="290830"/>
              <wp:effectExtent l="5080" t="9525" r="13970" b="13970"/>
              <wp:wrapNone/>
              <wp:docPr id="4097"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9083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7" filled="f" stroked="t" from="16.9pt,0.0pt" to="16.9pt,22.900002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r>
      <w:rPr>
        <w:rFonts w:ascii="Book Antiqua" w:hAnsi="Book Antiqua"/>
        <w:sz w:val="20"/>
      </w:rPr>
      <w:fldChar w:fldCharType="begin"/>
    </w:r>
    <w:r>
      <w:rPr>
        <w:rFonts w:ascii="Book Antiqua" w:hAnsi="Book Antiqua"/>
        <w:sz w:val="20"/>
      </w:rPr>
      <w:instrText xml:space="preserve"> PAGE   \* MERGEFORMAT </w:instrText>
    </w:r>
    <w:r>
      <w:rPr>
        <w:rFonts w:ascii="Book Antiqua" w:hAnsi="Book Antiqua"/>
        <w:sz w:val="20"/>
      </w:rPr>
      <w:fldChar w:fldCharType="separate"/>
    </w:r>
    <w:r>
      <w:rPr>
        <w:rFonts w:ascii="Book Antiqua" w:hAnsi="Book Antiqua"/>
        <w:sz w:val="20"/>
      </w:rPr>
      <w:t>12</w:t>
    </w:r>
    <w:r>
      <w:rPr>
        <w:rFonts w:ascii="Book Antiqua" w:hAnsi="Book Antiqua"/>
        <w:sz w:val="20"/>
      </w:rPr>
      <w:fldChar w:fldCharType="end"/>
    </w:r>
    <w:r>
      <w:rPr>
        <w:rFonts w:ascii="Book Antiqua" w:hAnsi="Book Antiqua"/>
        <w:sz w:val="20"/>
      </w:rPr>
      <w:tab/>
    </w:r>
    <w:r>
      <w:rPr>
        <w:rFonts w:ascii="Garamond" w:cs="Times New Roman" w:hAnsi="Garamond"/>
        <w:b/>
        <w:bCs/>
        <w:iCs/>
        <w:sz w:val="16"/>
        <w:szCs w:val="16"/>
      </w:rPr>
      <w:t xml:space="preserve">Al-Tanzim : Jurnal Manajemen Pendidikan Islam </w:t>
    </w:r>
    <w:r>
      <w:rPr>
        <w:rFonts w:ascii="Garamond" w:cs="Times New Roman" w:hAnsi="Garamond"/>
        <w:iCs/>
        <w:sz w:val="16"/>
        <w:szCs w:val="16"/>
      </w:rPr>
      <w:t>Vol. 04 No. 01 (2020) : 1-12</w:t>
    </w:r>
  </w:p>
  <w:p>
    <w:pPr>
      <w:pStyle w:val="style31"/>
      <w:jc w:val="right"/>
      <w:rPr>
        <w:rFonts w:ascii="Book Antiqua" w:hAnsi="Book Antiqua"/>
        <w:i/>
        <w:iCs/>
        <w:sz w:val="22"/>
        <w:szCs w:val="22"/>
      </w:rPr>
    </w:pPr>
    <w:r>
      <w:rPr>
        <w:rFonts w:ascii="Book Antiqua" w:hAnsi="Book Antiqua"/>
        <w:sz w:val="16"/>
        <w:szCs w:val="16"/>
      </w:rPr>
      <w:tab/>
    </w:r>
    <w:r>
      <w:rPr>
        <w:rFonts w:ascii="Book Antiqua" w:hAnsi="Book Antiqua"/>
        <w:sz w:val="16"/>
        <w:szCs w:val="16"/>
      </w:rPr>
      <w:t xml:space="preserve">Available online at </w:t>
    </w:r>
    <w:r>
      <w:rPr>
        <w:rStyle w:val="style85"/>
        <w:rFonts w:cs="Arial" w:eastAsia="Calibri"/>
        <w:color w:val="0000ff"/>
      </w:rPr>
      <w:t>https://ejournal.unuja.ac.id/index.php/al-tanzim/index</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706"/>
        <w:tab w:val="clear" w:pos="9356"/>
        <w:tab w:val="clear" w:pos="10080"/>
      </w:tabs>
      <w:spacing w:before="0" w:lineRule="auto" w:line="240"/>
      <w:rPr>
        <w:rFonts w:ascii="Book Antiqua" w:hAnsi="Book Antiqua"/>
        <w:i w:val="false"/>
        <w:iCs/>
        <w:sz w:val="20"/>
      </w:rPr>
    </w:pPr>
    <w:r>
      <w:rPr>
        <w:rFonts w:ascii="Garamond" w:cs="Times New Roman" w:hAnsi="Garamond"/>
        <w:b/>
        <w:bCs/>
        <w:i w:val="false"/>
        <w:sz w:val="16"/>
        <w:szCs w:val="16"/>
      </w:rPr>
      <w:t xml:space="preserve">Al-Tanzim : Jurnal Manajemen Pendidikan Islam </w:t>
    </w:r>
    <w:r>
      <w:rPr>
        <w:rFonts w:ascii="Garamond" w:cs="Times New Roman" w:hAnsi="Garamond"/>
        <w:i w:val="false"/>
        <w:sz w:val="16"/>
        <w:szCs w:val="16"/>
      </w:rPr>
      <w:t>Vol. 0</w:t>
    </w:r>
    <w:r>
      <w:rPr>
        <w:rFonts w:ascii="Garamond" w:cs="Times New Roman" w:hAnsi="Garamond"/>
        <w:i w:val="false"/>
        <w:sz w:val="16"/>
        <w:szCs w:val="16"/>
      </w:rPr>
      <w:t>0</w:t>
    </w:r>
    <w:r>
      <w:rPr>
        <w:rFonts w:ascii="Garamond" w:cs="Times New Roman" w:hAnsi="Garamond"/>
        <w:i w:val="false"/>
        <w:sz w:val="16"/>
        <w:szCs w:val="16"/>
      </w:rPr>
      <w:t xml:space="preserve"> No. 0</w:t>
    </w:r>
    <w:r>
      <w:rPr>
        <w:rFonts w:ascii="Garamond" w:cs="Times New Roman" w:hAnsi="Garamond"/>
        <w:i w:val="false"/>
        <w:sz w:val="16"/>
        <w:szCs w:val="16"/>
      </w:rPr>
      <w:t>0</w:t>
    </w:r>
    <w:r>
      <w:rPr>
        <w:rFonts w:ascii="Garamond" w:cs="Times New Roman" w:hAnsi="Garamond"/>
        <w:i w:val="false"/>
        <w:sz w:val="16"/>
        <w:szCs w:val="16"/>
      </w:rPr>
      <w:t xml:space="preserve"> (2020) : </w:t>
    </w:r>
    <w:r>
      <w:rPr>
        <w:rFonts w:ascii="Garamond" w:cs="Times New Roman" w:hAnsi="Garamond"/>
        <w:i w:val="false"/>
        <w:sz w:val="16"/>
        <w:szCs w:val="16"/>
      </w:rPr>
      <w:t>0</w:t>
    </w:r>
    <w:r>
      <w:rPr>
        <w:rFonts w:ascii="Garamond" w:cs="Times New Roman" w:hAnsi="Garamond"/>
        <w:i w:val="false"/>
        <w:sz w:val="16"/>
        <w:szCs w:val="16"/>
      </w:rPr>
      <w:t>-</w:t>
    </w:r>
    <w:r>
      <w:rPr>
        <w:rFonts w:ascii="Book Antiqua" w:hAnsi="Book Antiqua"/>
        <w:sz w:val="20"/>
        <w:lang w:val="id-ID" w:eastAsia="id-ID"/>
      </w:rPr>
      <mc:AlternateContent>
        <mc:Choice Requires="wps">
          <w:drawing>
            <wp:anchor distT="0" distB="0" distL="0" distR="0" simplePos="false" relativeHeight="4" behindDoc="false" locked="false" layoutInCell="true" allowOverlap="true">
              <wp:simplePos x="0" y="0"/>
              <wp:positionH relativeFrom="column">
                <wp:posOffset>5114925</wp:posOffset>
              </wp:positionH>
              <wp:positionV relativeFrom="paragraph">
                <wp:posOffset>-1905</wp:posOffset>
              </wp:positionV>
              <wp:extent cx="0" cy="290830"/>
              <wp:effectExtent l="9525" t="7620" r="9525" b="6350"/>
              <wp:wrapNone/>
              <wp:docPr id="4098"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9083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8" filled="f" stroked="t" from="402.75pt,-0.15pt" to="402.75pt,22.750002pt" style="position:absolute;z-index:4;mso-position-horizontal-relative:text;mso-position-vertical-relative:text;mso-width-percent:0;mso-height-percent:0;mso-width-relative:page;mso-height-relative:page;mso-wrap-distance-left:0.0pt;mso-wrap-distance-right:0.0pt;visibility:visible;">
              <v:fill/>
            </v:line>
          </w:pict>
        </mc:Fallback>
      </mc:AlternateContent>
    </w:r>
    <w:r>
      <w:rPr>
        <w:rFonts w:ascii="Garamond" w:cs="Times New Roman" w:hAnsi="Garamond"/>
        <w:i w:val="false"/>
        <w:sz w:val="16"/>
        <w:szCs w:val="16"/>
      </w:rPr>
      <w:t>00</w:t>
    </w:r>
    <w:r>
      <w:rPr>
        <w:rFonts w:ascii="Garamond" w:cs="Times New Roman" w:hAnsi="Garamond"/>
        <w:iCs/>
        <w:sz w:val="16"/>
        <w:szCs w:val="16"/>
      </w:rPr>
      <w:tab/>
    </w:r>
    <w:r>
      <w:rPr>
        <w:rFonts w:ascii="Book Antiqua" w:hAnsi="Book Antiqua"/>
        <w:i w:val="false"/>
        <w:iCs/>
        <w:sz w:val="20"/>
      </w:rPr>
      <w:fldChar w:fldCharType="begin"/>
    </w:r>
    <w:r>
      <w:rPr>
        <w:rFonts w:ascii="Book Antiqua" w:hAnsi="Book Antiqua"/>
        <w:i w:val="false"/>
        <w:iCs/>
        <w:sz w:val="20"/>
      </w:rPr>
      <w:instrText xml:space="preserve"> PAGE   \* MERGEFORMAT </w:instrText>
    </w:r>
    <w:r>
      <w:rPr>
        <w:rFonts w:ascii="Book Antiqua" w:hAnsi="Book Antiqua"/>
        <w:i w:val="false"/>
        <w:iCs/>
        <w:sz w:val="20"/>
      </w:rPr>
      <w:fldChar w:fldCharType="separate"/>
    </w:r>
    <w:r>
      <w:rPr>
        <w:rFonts w:ascii="Book Antiqua" w:hAnsi="Book Antiqua"/>
        <w:i w:val="false"/>
        <w:iCs/>
        <w:sz w:val="20"/>
      </w:rPr>
      <w:t>7</w:t>
    </w:r>
    <w:r>
      <w:rPr>
        <w:rFonts w:ascii="Book Antiqua" w:hAnsi="Book Antiqua"/>
        <w:i w:val="false"/>
        <w:iCs/>
        <w:sz w:val="20"/>
      </w:rPr>
      <w:fldChar w:fldCharType="end"/>
    </w:r>
  </w:p>
  <w:p>
    <w:pPr>
      <w:pStyle w:val="style32"/>
      <w:tabs>
        <w:tab w:val="clear" w:pos="4706"/>
        <w:tab w:val="clear" w:pos="9356"/>
        <w:tab w:val="clear" w:pos="10080"/>
      </w:tabs>
      <w:spacing w:before="0" w:lineRule="auto" w:line="240"/>
      <w:rPr>
        <w:rFonts w:ascii="Book Antiqua" w:hAnsi="Book Antiqua"/>
        <w:i w:val="false"/>
        <w:iCs/>
        <w:sz w:val="22"/>
        <w:szCs w:val="22"/>
      </w:rPr>
    </w:pPr>
    <w:r>
      <w:rPr>
        <w:rFonts w:ascii="Book Antiqua" w:hAnsi="Book Antiqua"/>
        <w:i w:val="false"/>
        <w:iCs/>
        <w:sz w:val="16"/>
        <w:szCs w:val="16"/>
      </w:rPr>
      <w:t xml:space="preserve">Available online at  </w:t>
    </w:r>
    <w:r>
      <w:rPr>
        <w:rStyle w:val="style85"/>
        <w:rFonts w:cs="Arial" w:eastAsia="Calibri"/>
        <w:i w:val="false"/>
        <w:iCs/>
        <w:color w:val="0000ff"/>
      </w:rPr>
      <w:t>https://ejournal.unuja.ac.id/index.php/al-tanzim/index</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706"/>
      </w:tabs>
      <w:spacing w:before="0" w:lineRule="auto" w:line="240"/>
      <w:jc w:val="center"/>
      <w:rPr>
        <w:rFonts w:ascii="Garamond" w:cs="Times New Roman" w:hAnsi="Garamond"/>
        <w:b/>
        <w:bCs/>
        <w:i w:val="false"/>
        <w:sz w:val="16"/>
        <w:szCs w:val="16"/>
      </w:rPr>
    </w:pPr>
    <w:r>
      <w:rPr>
        <w:rFonts w:ascii="Garamond" w:cs="Times New Roman" w:hAnsi="Garamond"/>
        <w:b/>
        <w:bCs/>
        <w:i w:val="false"/>
        <w:sz w:val="16"/>
        <w:szCs w:val="16"/>
      </w:rPr>
      <w:t>Al-Tanzim : Jurnal Manajemen Pendidikan Islam</w:t>
    </w:r>
  </w:p>
  <w:p>
    <w:pPr>
      <w:pStyle w:val="style32"/>
      <w:tabs>
        <w:tab w:val="clear" w:pos="4706"/>
      </w:tabs>
      <w:spacing w:before="0" w:lineRule="auto" w:line="240"/>
      <w:jc w:val="center"/>
      <w:rPr>
        <w:rFonts w:ascii="Garamond" w:cs="Times New Roman" w:hAnsi="Garamond"/>
        <w:i w:val="false"/>
        <w:sz w:val="16"/>
        <w:szCs w:val="16"/>
      </w:rPr>
    </w:pPr>
    <w:r>
      <w:rPr>
        <w:rFonts w:ascii="Garamond" w:cs="Times New Roman" w:hAnsi="Garamond"/>
        <w:i w:val="false"/>
        <w:sz w:val="16"/>
        <w:szCs w:val="16"/>
      </w:rPr>
      <w:t>Vol. 04 No. 01 (2020) : 1-12</w: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after="0" w:lineRule="auto" w:line="240"/>
      <w:rPr>
        <w:rFonts w:ascii="Garamond" w:cs="Times New Roman" w:hAnsi="Garamond"/>
        <w:iCs/>
        <w:sz w:val="22"/>
        <w:szCs w:val="22"/>
      </w:rPr>
    </w:pPr>
    <w:r>
      <w:rPr>
        <w:bCs/>
        <w:szCs w:val="30"/>
        <w:lang w:val="id-ID" w:eastAsia="id-ID"/>
      </w:rPr>
      <w:drawing>
        <wp:anchor distT="0" distB="0" distL="0" distR="0" simplePos="false" relativeHeight="2" behindDoc="false" locked="false" layoutInCell="true" allowOverlap="true">
          <wp:simplePos x="0" y="0"/>
          <wp:positionH relativeFrom="column">
            <wp:posOffset>2558</wp:posOffset>
          </wp:positionH>
          <wp:positionV relativeFrom="paragraph">
            <wp:posOffset>-18259</wp:posOffset>
          </wp:positionV>
          <wp:extent cx="5399277" cy="364638"/>
          <wp:effectExtent l="0" t="0" r="0" b="0"/>
          <wp:wrapNone/>
          <wp:docPr id="4099" name="Picture 8" descr="D:\JURNAL AL TANZIM\sub.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srcRect l="0" t="0" r="0" b="0"/>
                  <a:stretch/>
                </pic:blipFill>
                <pic:spPr>
                  <a:xfrm rot="0">
                    <a:off x="0" y="0"/>
                    <a:ext cx="5399277" cy="364638"/>
                  </a:xfrm>
                  <a:prstGeom prst="rect"/>
                  <a:ln>
                    <a:noFill/>
                  </a:ln>
                </pic:spPr>
              </pic:pic>
            </a:graphicData>
          </a:graphic>
        </wp:anchor>
      </w:drawing>
    </w:r>
  </w:p>
  <w:p>
    <w:pPr>
      <w:pStyle w:val="style31"/>
      <w:spacing w:after="0" w:lineRule="auto" w:line="240"/>
      <w:rPr>
        <w:rFonts w:ascii="Garamond" w:cs="Times New Roman" w:hAnsi="Garamond"/>
        <w:iCs/>
        <w:sz w:val="22"/>
        <w:szCs w:val="22"/>
      </w:rPr>
    </w:pPr>
  </w:p>
  <w:p>
    <w:pPr>
      <w:pStyle w:val="style31"/>
      <w:spacing w:after="0" w:lineRule="auto" w:line="240"/>
      <w:jc w:val="center"/>
      <w:rPr>
        <w:rFonts w:ascii="Garamond" w:cs="Times New Roman" w:hAnsi="Garamond"/>
        <w:b/>
        <w:bCs/>
        <w:iCs/>
        <w:sz w:val="8"/>
        <w:szCs w:val="8"/>
      </w:rPr>
    </w:pPr>
  </w:p>
  <w:p>
    <w:pPr>
      <w:pStyle w:val="style31"/>
      <w:spacing w:after="0" w:lineRule="auto" w:line="240"/>
      <w:jc w:val="center"/>
      <w:rPr>
        <w:rFonts w:ascii="Garamond" w:cs="Times New Roman" w:hAnsi="Garamond"/>
        <w:b/>
        <w:bCs/>
        <w:iCs/>
        <w:sz w:val="16"/>
        <w:szCs w:val="16"/>
      </w:rPr>
    </w:pPr>
    <w:r>
      <w:rPr>
        <w:rFonts w:ascii="Garamond" w:cs="Times New Roman" w:hAnsi="Garamond"/>
        <w:b/>
        <w:bCs/>
        <w:iCs/>
        <w:sz w:val="16"/>
        <w:szCs w:val="16"/>
      </w:rPr>
      <w:t>Al-Tanzim : Jurnal Manajemen Pendidikan Islam</w:t>
    </w:r>
  </w:p>
  <w:p>
    <w:pPr>
      <w:pStyle w:val="style31"/>
      <w:spacing w:after="0" w:lineRule="auto" w:line="240"/>
      <w:jc w:val="center"/>
      <w:rPr>
        <w:rFonts w:ascii="Garamond" w:cs="Times New Roman" w:hAnsi="Garamond"/>
        <w:iCs/>
        <w:sz w:val="22"/>
        <w:szCs w:val="22"/>
        <w:lang w:val="id-ID"/>
      </w:rPr>
    </w:pPr>
    <w:r>
      <w:rPr>
        <w:rFonts w:ascii="Garamond" w:cs="Times New Roman" w:hAnsi="Garamond"/>
        <w:iCs/>
        <w:sz w:val="16"/>
        <w:szCs w:val="16"/>
      </w:rPr>
      <w:t>Vol. 00 No. 00 (2020) : 00-00</w:t>
    </w:r>
  </w:p>
  <w:p>
    <w:pPr>
      <w:pStyle w:val="style31"/>
      <w:spacing w:after="0" w:lineRule="auto" w:line="240"/>
      <w:jc w:val="center"/>
      <w:rPr>
        <w:rStyle w:val="style85"/>
        <w:rFonts w:cs="Arial" w:eastAsia="Calibri"/>
        <w:color w:val="0000ff"/>
        <w:u w:val="single"/>
      </w:rPr>
    </w:pPr>
    <w:r>
      <w:rPr>
        <w:rFonts w:ascii="Book Antiqua" w:hAnsi="Book Antiqua"/>
        <w:sz w:val="16"/>
        <w:szCs w:val="16"/>
      </w:rPr>
      <w:t xml:space="preserve">Available online at </w:t>
    </w:r>
    <w:r>
      <w:rPr>
        <w:rStyle w:val="style85"/>
        <w:rFonts w:cs="Arial" w:eastAsia="Calibri"/>
        <w:color w:val="0000ff"/>
        <w:u w:val="single"/>
      </w:rPr>
      <w:t xml:space="preserve">https://ejournal.unuja.ac.id/index.php/al-tanzim/index </w:t>
    </w:r>
  </w:p>
  <w:p>
    <w:pPr>
      <w:pStyle w:val="style31"/>
      <w:spacing w:after="0" w:lineRule="auto" w:line="240"/>
      <w:jc w:val="center"/>
      <w:rPr>
        <w:rStyle w:val="style85"/>
        <w:rFonts w:cs="Arial" w:eastAsia="Calibri"/>
        <w:color w:val="0000ff"/>
        <w:u w:val="single"/>
      </w:rPr>
    </w:pPr>
  </w:p>
  <w:p>
    <w:pPr>
      <w:pStyle w:val="style31"/>
      <w:spacing w:after="0" w:lineRule="auto" w:line="240"/>
      <w:jc w:val="center"/>
      <w:rPr>
        <w:rStyle w:val="style85"/>
        <w:rFonts w:ascii="Book Antiqua" w:hAnsi="Book Antiqua"/>
        <w:szCs w:val="16"/>
      </w:rPr>
    </w:pPr>
  </w:p>
  <w:p>
    <w:pPr>
      <w:pStyle w:val="style31"/>
      <w:spacing w:after="0" w:lineRule="auto" w:line="240"/>
      <w:jc w:val="center"/>
      <w:rPr>
        <w:rStyle w:val="style85"/>
        <w:rFonts w:ascii="Book Antiqua" w:hAnsi="Book Antiqua"/>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BA149A"/>
    <w:lvl w:ilvl="0" w:tplc="11A689FA">
      <w:start w:val="1"/>
      <w:numFmt w:val="decimal"/>
      <w:lvlText w:val="%1."/>
      <w:lvlJc w:val="left"/>
      <w:pPr>
        <w:ind w:left="720" w:hanging="360"/>
      </w:pPr>
    </w:lvl>
    <w:lvl w:ilvl="1" w:tplc="9B8AA724" w:tentative="1">
      <w:start w:val="1"/>
      <w:numFmt w:val="lowerLetter"/>
      <w:lvlText w:val="%2."/>
      <w:lvlJc w:val="left"/>
      <w:pPr>
        <w:ind w:left="1440" w:hanging="360"/>
      </w:pPr>
    </w:lvl>
    <w:lvl w:ilvl="2" w:tplc="9326C31C" w:tentative="1">
      <w:start w:val="1"/>
      <w:numFmt w:val="lowerRoman"/>
      <w:lvlText w:val="%3."/>
      <w:lvlJc w:val="right"/>
      <w:pPr>
        <w:ind w:left="2160" w:hanging="180"/>
      </w:pPr>
    </w:lvl>
    <w:lvl w:ilvl="3" w:tplc="BB6250B8" w:tentative="1">
      <w:start w:val="1"/>
      <w:numFmt w:val="decimal"/>
      <w:lvlText w:val="%4."/>
      <w:lvlJc w:val="left"/>
      <w:pPr>
        <w:ind w:left="2880" w:hanging="360"/>
      </w:pPr>
    </w:lvl>
    <w:lvl w:ilvl="4" w:tplc="021AE7C0" w:tentative="1">
      <w:start w:val="1"/>
      <w:numFmt w:val="lowerLetter"/>
      <w:lvlText w:val="%5."/>
      <w:lvlJc w:val="left"/>
      <w:pPr>
        <w:ind w:left="3600" w:hanging="360"/>
      </w:pPr>
    </w:lvl>
    <w:lvl w:ilvl="5" w:tplc="496E6344" w:tentative="1">
      <w:start w:val="1"/>
      <w:numFmt w:val="lowerRoman"/>
      <w:lvlText w:val="%6."/>
      <w:lvlJc w:val="right"/>
      <w:pPr>
        <w:ind w:left="4320" w:hanging="180"/>
      </w:pPr>
    </w:lvl>
    <w:lvl w:ilvl="6" w:tplc="7EC27D0C" w:tentative="1">
      <w:start w:val="1"/>
      <w:numFmt w:val="decimal"/>
      <w:lvlText w:val="%7."/>
      <w:lvlJc w:val="left"/>
      <w:pPr>
        <w:ind w:left="5040" w:hanging="360"/>
      </w:pPr>
    </w:lvl>
    <w:lvl w:ilvl="7" w:tplc="A5588F9A" w:tentative="1">
      <w:start w:val="1"/>
      <w:numFmt w:val="lowerLetter"/>
      <w:lvlText w:val="%8."/>
      <w:lvlJc w:val="left"/>
      <w:pPr>
        <w:ind w:left="5760" w:hanging="360"/>
      </w:pPr>
    </w:lvl>
    <w:lvl w:ilvl="8" w:tplc="8EE207C8" w:tentative="1">
      <w:start w:val="1"/>
      <w:numFmt w:val="lowerRoman"/>
      <w:lvlText w:val="%9."/>
      <w:lvlJc w:val="right"/>
      <w:pPr>
        <w:ind w:left="6480" w:hanging="180"/>
      </w:pPr>
    </w:lvl>
  </w:abstractNum>
  <w:abstractNum w:abstractNumId="1">
    <w:nsid w:val="00000001"/>
    <w:multiLevelType w:val="hybridMultilevel"/>
    <w:tmpl w:val="6E1A64AA"/>
    <w:lvl w:ilvl="0" w:tplc="0024E5FA">
      <w:start w:val="1"/>
      <w:numFmt w:val="lowerLetter"/>
      <w:lvlText w:val="%1."/>
      <w:lvlJc w:val="left"/>
      <w:pPr>
        <w:ind w:left="786" w:hanging="360"/>
      </w:pPr>
      <w:rPr>
        <w:rFonts w:hint="default"/>
      </w:rPr>
    </w:lvl>
    <w:lvl w:ilvl="1" w:tplc="4058DD46" w:tentative="1">
      <w:start w:val="1"/>
      <w:numFmt w:val="lowerLetter"/>
      <w:lvlText w:val="%2."/>
      <w:lvlJc w:val="left"/>
      <w:pPr>
        <w:ind w:left="1506" w:hanging="360"/>
      </w:pPr>
    </w:lvl>
    <w:lvl w:ilvl="2" w:tplc="463E2DAA" w:tentative="1">
      <w:start w:val="1"/>
      <w:numFmt w:val="lowerRoman"/>
      <w:lvlText w:val="%3."/>
      <w:lvlJc w:val="right"/>
      <w:pPr>
        <w:ind w:left="2226" w:hanging="180"/>
      </w:pPr>
    </w:lvl>
    <w:lvl w:ilvl="3" w:tplc="468838DA" w:tentative="1">
      <w:start w:val="1"/>
      <w:numFmt w:val="decimal"/>
      <w:lvlText w:val="%4."/>
      <w:lvlJc w:val="left"/>
      <w:pPr>
        <w:ind w:left="2946" w:hanging="360"/>
      </w:pPr>
    </w:lvl>
    <w:lvl w:ilvl="4" w:tplc="657812DE" w:tentative="1">
      <w:start w:val="1"/>
      <w:numFmt w:val="lowerLetter"/>
      <w:lvlText w:val="%5."/>
      <w:lvlJc w:val="left"/>
      <w:pPr>
        <w:ind w:left="3666" w:hanging="360"/>
      </w:pPr>
    </w:lvl>
    <w:lvl w:ilvl="5" w:tplc="34D2E280" w:tentative="1">
      <w:start w:val="1"/>
      <w:numFmt w:val="lowerRoman"/>
      <w:lvlText w:val="%6."/>
      <w:lvlJc w:val="right"/>
      <w:pPr>
        <w:ind w:left="4386" w:hanging="180"/>
      </w:pPr>
    </w:lvl>
    <w:lvl w:ilvl="6" w:tplc="E8F6D74C" w:tentative="1">
      <w:start w:val="1"/>
      <w:numFmt w:val="decimal"/>
      <w:lvlText w:val="%7."/>
      <w:lvlJc w:val="left"/>
      <w:pPr>
        <w:ind w:left="5106" w:hanging="360"/>
      </w:pPr>
    </w:lvl>
    <w:lvl w:ilvl="7" w:tplc="27F07E48" w:tentative="1">
      <w:start w:val="1"/>
      <w:numFmt w:val="lowerLetter"/>
      <w:lvlText w:val="%8."/>
      <w:lvlJc w:val="left"/>
      <w:pPr>
        <w:ind w:left="5826" w:hanging="360"/>
      </w:pPr>
    </w:lvl>
    <w:lvl w:ilvl="8" w:tplc="1714CC2A" w:tentative="1">
      <w:start w:val="1"/>
      <w:numFmt w:val="lowerRoman"/>
      <w:lvlText w:val="%9."/>
      <w:lvlJc w:val="right"/>
      <w:pPr>
        <w:ind w:left="6546" w:hanging="180"/>
      </w:pPr>
    </w:lvl>
  </w:abstractNum>
  <w:abstractNum w:abstractNumId="2">
    <w:nsid w:val="00000002"/>
    <w:multiLevelType w:val="hybridMultilevel"/>
    <w:tmpl w:val="D81AE5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hybridMultilevel"/>
    <w:tmpl w:val="B804E9D4"/>
    <w:lvl w:ilvl="0" w:tplc="D098E620">
      <w:start w:val="1"/>
      <w:numFmt w:val="decimal"/>
      <w:lvlText w:val="%1."/>
      <w:lvlJc w:val="left"/>
      <w:pPr>
        <w:ind w:left="1080" w:hanging="720"/>
      </w:pPr>
      <w:rPr>
        <w:rFonts w:hint="default"/>
      </w:rPr>
    </w:lvl>
    <w:lvl w:ilvl="1" w:tplc="D7128970" w:tentative="1">
      <w:start w:val="1"/>
      <w:numFmt w:val="lowerLetter"/>
      <w:lvlText w:val="%2."/>
      <w:lvlJc w:val="left"/>
      <w:pPr>
        <w:ind w:left="1440" w:hanging="360"/>
      </w:pPr>
    </w:lvl>
    <w:lvl w:ilvl="2" w:tplc="156C1062" w:tentative="1">
      <w:start w:val="1"/>
      <w:numFmt w:val="lowerRoman"/>
      <w:lvlText w:val="%3."/>
      <w:lvlJc w:val="right"/>
      <w:pPr>
        <w:ind w:left="2160" w:hanging="180"/>
      </w:pPr>
    </w:lvl>
    <w:lvl w:ilvl="3" w:tplc="EC4CD2BA" w:tentative="1">
      <w:start w:val="1"/>
      <w:numFmt w:val="decimal"/>
      <w:lvlText w:val="%4."/>
      <w:lvlJc w:val="left"/>
      <w:pPr>
        <w:ind w:left="2880" w:hanging="360"/>
      </w:pPr>
    </w:lvl>
    <w:lvl w:ilvl="4" w:tplc="D6366760" w:tentative="1">
      <w:start w:val="1"/>
      <w:numFmt w:val="lowerLetter"/>
      <w:lvlText w:val="%5."/>
      <w:lvlJc w:val="left"/>
      <w:pPr>
        <w:ind w:left="3600" w:hanging="360"/>
      </w:pPr>
    </w:lvl>
    <w:lvl w:ilvl="5" w:tplc="2C2E39DE" w:tentative="1">
      <w:start w:val="1"/>
      <w:numFmt w:val="lowerRoman"/>
      <w:lvlText w:val="%6."/>
      <w:lvlJc w:val="right"/>
      <w:pPr>
        <w:ind w:left="4320" w:hanging="180"/>
      </w:pPr>
    </w:lvl>
    <w:lvl w:ilvl="6" w:tplc="7122B980" w:tentative="1">
      <w:start w:val="1"/>
      <w:numFmt w:val="decimal"/>
      <w:lvlText w:val="%7."/>
      <w:lvlJc w:val="left"/>
      <w:pPr>
        <w:ind w:left="5040" w:hanging="360"/>
      </w:pPr>
    </w:lvl>
    <w:lvl w:ilvl="7" w:tplc="046CDD6A" w:tentative="1">
      <w:start w:val="1"/>
      <w:numFmt w:val="lowerLetter"/>
      <w:lvlText w:val="%8."/>
      <w:lvlJc w:val="left"/>
      <w:pPr>
        <w:ind w:left="5760" w:hanging="360"/>
      </w:pPr>
    </w:lvl>
    <w:lvl w:ilvl="8" w:tplc="D3B09940"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removePersonalInformation/>
  <w:removeDateAndTim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widowControl w:val="false"/>
      <w:spacing w:after="0" w:lineRule="exact" w:line="230"/>
    </w:pPr>
    <w:rPr>
      <w:rFonts w:ascii="Times New Roman" w:cs="Times New Roman" w:eastAsia="SimSun" w:hAnsi="Times New Roman"/>
      <w:sz w:val="16"/>
      <w:szCs w:val="20"/>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Els-Title"/>
    <w:next w:val="style0"/>
    <w:pPr>
      <w:suppressAutoHyphens/>
      <w:spacing w:after="0" w:lineRule="auto" w:line="240"/>
      <w:jc w:val="center"/>
    </w:pPr>
    <w:rPr>
      <w:rFonts w:ascii="Book Antiqua" w:cs="Times New Roman" w:eastAsia="SimSun" w:hAnsi="Book Antiqua"/>
      <w:b/>
      <w:sz w:val="30"/>
      <w:szCs w:val="18"/>
      <w:lang w:val="en-US"/>
    </w:rPr>
  </w:style>
  <w:style w:type="paragraph" w:styleId="style31">
    <w:name w:val="header"/>
    <w:basedOn w:val="style0"/>
    <w:next w:val="style31"/>
    <w:link w:val="style4098"/>
    <w:uiPriority w:val="99"/>
    <w:pPr>
      <w:widowControl/>
      <w:tabs>
        <w:tab w:val="center" w:leader="none" w:pos="4706"/>
        <w:tab w:val="right" w:leader="none" w:pos="9356"/>
      </w:tabs>
      <w:spacing w:after="80" w:lineRule="atLeast" w:line="200"/>
    </w:pPr>
    <w:rPr>
      <w:noProof/>
      <w:sz w:val="14"/>
      <w:lang w:val="en-US"/>
    </w:rPr>
  </w:style>
  <w:style w:type="character" w:customStyle="1" w:styleId="style4098">
    <w:name w:val="Header Char_4b5e1b27-09ae-48b3-8542-20c65109a11c"/>
    <w:basedOn w:val="style65"/>
    <w:next w:val="style4098"/>
    <w:link w:val="style31"/>
    <w:uiPriority w:val="99"/>
    <w:rPr>
      <w:rFonts w:ascii="Times New Roman" w:cs="Times New Roman" w:eastAsia="SimSun" w:hAnsi="Times New Roman"/>
      <w:noProof/>
      <w:sz w:val="14"/>
      <w:szCs w:val="20"/>
      <w:lang w:val="en-US"/>
    </w:rPr>
  </w:style>
  <w:style w:type="paragraph" w:styleId="style32">
    <w:name w:val="footer"/>
    <w:basedOn w:val="style31"/>
    <w:next w:val="style32"/>
    <w:link w:val="style4099"/>
    <w:pPr>
      <w:tabs>
        <w:tab w:val="right" w:leader="none" w:pos="10080"/>
      </w:tabs>
      <w:spacing w:before="240" w:after="0" w:lineRule="exact" w:line="200"/>
    </w:pPr>
    <w:rPr>
      <w:i/>
    </w:rPr>
  </w:style>
  <w:style w:type="character" w:customStyle="1" w:styleId="style4099">
    <w:name w:val="Footer Char_c581e8a0-4f3d-406c-8eaf-bf854f264e25"/>
    <w:basedOn w:val="style65"/>
    <w:next w:val="style4099"/>
    <w:link w:val="style32"/>
    <w:rPr>
      <w:rFonts w:ascii="Times New Roman" w:cs="Times New Roman" w:eastAsia="SimSun" w:hAnsi="Times New Roman"/>
      <w:i/>
      <w:noProof/>
      <w:sz w:val="14"/>
      <w:szCs w:val="20"/>
      <w:lang w:val="en-US"/>
    </w:rPr>
  </w:style>
  <w:style w:type="character" w:styleId="style85">
    <w:name w:val="Hyperlink"/>
    <w:basedOn w:val="style65"/>
    <w:next w:val="style85"/>
    <w:uiPriority w:val="99"/>
    <w:rPr>
      <w:rFonts w:cs="Times New Roman"/>
      <w:color w:val="auto"/>
      <w:sz w:val="16"/>
      <w:u w:val="none"/>
    </w:rPr>
  </w:style>
  <w:style w:type="table" w:styleId="style154">
    <w:name w:val="Table Grid"/>
    <w:basedOn w:val="style105"/>
    <w:next w:val="style154"/>
    <w:uiPriority w:val="39"/>
    <w:pPr>
      <w:spacing w:after="0" w:lineRule="auto" w:line="240"/>
    </w:pPr>
    <w:rPr>
      <w:rFonts w:ascii="Times New Roman" w:cs="Times New Roman" w:eastAsia="SimSun" w:hAnsi="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link w:val="style4100"/>
    <w:qFormat/>
    <w:uiPriority w:val="34"/>
    <w:pPr>
      <w:widowControl/>
      <w:spacing w:lineRule="auto" w:line="240"/>
      <w:ind w:left="720"/>
      <w:contextualSpacing/>
    </w:pPr>
    <w:rPr>
      <w:rFonts w:cs="Arial" w:eastAsia="宋体"/>
      <w:sz w:val="24"/>
      <w:szCs w:val="22"/>
      <w:lang w:val="en-US"/>
    </w:rPr>
  </w:style>
  <w:style w:type="character" w:customStyle="1" w:styleId="style4100">
    <w:name w:val="List Paragraph Char"/>
    <w:next w:val="style4100"/>
    <w:link w:val="style179"/>
    <w:uiPriority w:val="34"/>
    <w:rPr>
      <w:rFonts w:ascii="Times New Roman" w:cs="Arial" w:eastAsia="宋体" w:hAnsi="Times New Roman"/>
      <w:sz w:val="24"/>
      <w:lang w:val="en-US"/>
    </w:rPr>
  </w:style>
  <w:style w:type="character" w:customStyle="1" w:styleId="style4101">
    <w:name w:val="tlid-translation"/>
    <w:basedOn w:val="style65"/>
    <w:next w:val="style4101"/>
  </w:style>
  <w:style w:type="paragraph" w:styleId="style153">
    <w:name w:val="Balloon Text"/>
    <w:basedOn w:val="style0"/>
    <w:next w:val="style153"/>
    <w:link w:val="style4102"/>
    <w:uiPriority w:val="99"/>
    <w:pPr>
      <w:spacing w:lineRule="auto" w:line="240"/>
    </w:pPr>
    <w:rPr>
      <w:rFonts w:ascii="Tahoma" w:cs="Tahoma" w:hAnsi="Tahoma"/>
      <w:szCs w:val="16"/>
    </w:rPr>
  </w:style>
  <w:style w:type="character" w:customStyle="1" w:styleId="style4102">
    <w:name w:val="Balloon Text Char"/>
    <w:basedOn w:val="style65"/>
    <w:next w:val="style4102"/>
    <w:link w:val="style153"/>
    <w:uiPriority w:val="99"/>
    <w:rPr>
      <w:rFonts w:ascii="Tahoma" w:cs="Tahoma" w:eastAsia="SimSun" w:hAnsi="Tahoma"/>
      <w:sz w:val="16"/>
      <w:szCs w:val="16"/>
      <w:lang w:val="en-GB"/>
    </w:rPr>
  </w:style>
  <w:style w:type="paragraph" w:customStyle="1" w:styleId="style4103">
    <w:name w:val="MDPI_4.2_table_body"/>
    <w:next w:val="style4103"/>
    <w:qFormat/>
    <w:pPr>
      <w:adjustRightInd w:val="false"/>
      <w:snapToGrid w:val="false"/>
      <w:spacing w:after="0" w:lineRule="atLeast" w:line="260"/>
      <w:jc w:val="center"/>
    </w:pPr>
    <w:rPr>
      <w:rFonts w:ascii="Palatino Linotype" w:cs="Times New Roman" w:eastAsia="Times New Roman" w:hAnsi="Palatino Linotype"/>
      <w:snapToGrid w:val="false"/>
      <w:color w:val="000000"/>
      <w:sz w:val="20"/>
      <w:szCs w:val="20"/>
      <w:lang w:val="en-US" w:bidi="en-US" w:eastAsia="de-DE"/>
    </w:rPr>
  </w:style>
  <w:style w:type="paragraph" w:styleId="style66">
    <w:name w:val="Body Text"/>
    <w:basedOn w:val="style0"/>
    <w:next w:val="style66"/>
    <w:link w:val="style4104"/>
    <w:uiPriority w:val="99"/>
    <w:pPr>
      <w:widowControl/>
      <w:spacing w:after="120" w:lineRule="auto" w:line="276"/>
    </w:pPr>
    <w:rPr>
      <w:rFonts w:ascii="Calibri" w:cs="Arial" w:eastAsia="Calibri" w:hAnsi="Calibri"/>
      <w:sz w:val="22"/>
      <w:szCs w:val="22"/>
      <w:lang w:val="id-ID"/>
    </w:rPr>
  </w:style>
  <w:style w:type="character" w:customStyle="1" w:styleId="style4104">
    <w:name w:val="Body Text Char"/>
    <w:basedOn w:val="style65"/>
    <w:next w:val="style4104"/>
    <w:link w:val="style66"/>
    <w:uiPriority w:val="99"/>
    <w:rPr>
      <w:rFonts w:ascii="Calibri" w:cs="Arial" w:eastAsia="Calibri" w:hAnsi="Calibri"/>
    </w:rPr>
  </w:style>
  <w:style w:type="paragraph" w:styleId="style29">
    <w:name w:val="footnote text"/>
    <w:basedOn w:val="style0"/>
    <w:next w:val="style29"/>
    <w:link w:val="style4105"/>
    <w:uiPriority w:val="99"/>
    <w:pPr>
      <w:spacing w:lineRule="auto" w:line="240"/>
    </w:pPr>
    <w:rPr>
      <w:sz w:val="20"/>
    </w:rPr>
  </w:style>
  <w:style w:type="character" w:customStyle="1" w:styleId="style4105">
    <w:name w:val="Footnote Text Char"/>
    <w:basedOn w:val="style65"/>
    <w:next w:val="style4105"/>
    <w:link w:val="style29"/>
    <w:uiPriority w:val="99"/>
    <w:rPr>
      <w:rFonts w:ascii="Times New Roman" w:cs="Times New Roman" w:eastAsia="SimSun" w:hAnsi="Times New Roman"/>
      <w:sz w:val="20"/>
      <w:szCs w:val="20"/>
      <w:lang w:val="en-GB"/>
    </w:rPr>
  </w:style>
  <w:style w:type="character" w:styleId="style38">
    <w:name w:val="footnote reference"/>
    <w:basedOn w:val="style65"/>
    <w:next w:val="style38"/>
    <w:uiPriority w:val="99"/>
    <w:rPr>
      <w:vertAlign w:val="superscript"/>
    </w:rPr>
  </w:style>
  <w:style w:type="character" w:customStyle="1" w:styleId="style4106">
    <w:name w:val="rynqvb"/>
    <w:basedOn w:val="style65"/>
    <w:next w:val="style4106"/>
  </w:style>
  <w:style w:type="character" w:customStyle="1" w:styleId="style4107">
    <w:name w:val="markedcontent"/>
    <w:basedOn w:val="style65"/>
    <w:next w:val="style4107"/>
  </w:style>
  <w:style w:type="character" w:styleId="style87">
    <w:name w:val="Strong"/>
    <w:basedOn w:val="style65"/>
    <w:next w:val="style87"/>
    <w:qFormat/>
    <w:uiPriority w:val="22"/>
    <w:rPr>
      <w:b/>
      <w:bCs/>
    </w:rPr>
  </w:style>
  <w:style w:type="character" w:customStyle="1" w:styleId="style4108">
    <w:name w:val="hwtze"/>
    <w:basedOn w:val="style65"/>
    <w:next w:val="style4108"/>
  </w:style>
  <w:style w:type="paragraph" w:customStyle="1" w:styleId="style4109">
    <w:name w:val="EndNote Bibliography Title"/>
    <w:basedOn w:val="style0"/>
    <w:next w:val="style4109"/>
    <w:link w:val="style4110"/>
    <w:pPr>
      <w:jc w:val="center"/>
    </w:pPr>
    <w:rPr>
      <w:noProof/>
      <w:sz w:val="24"/>
      <w:lang w:val="en-US"/>
    </w:rPr>
  </w:style>
  <w:style w:type="character" w:customStyle="1" w:styleId="style4110">
    <w:name w:val="EndNote Bibliography Title Char"/>
    <w:basedOn w:val="style65"/>
    <w:next w:val="style4110"/>
    <w:link w:val="style4109"/>
    <w:rPr>
      <w:rFonts w:ascii="Times New Roman" w:cs="Times New Roman" w:eastAsia="SimSun" w:hAnsi="Times New Roman"/>
      <w:noProof/>
      <w:sz w:val="24"/>
      <w:szCs w:val="20"/>
      <w:lang w:val="en-US"/>
    </w:rPr>
  </w:style>
  <w:style w:type="paragraph" w:customStyle="1" w:styleId="style4111">
    <w:name w:val="EndNote Bibliography"/>
    <w:basedOn w:val="style0"/>
    <w:next w:val="style4111"/>
    <w:link w:val="style4112"/>
    <w:pPr>
      <w:spacing w:lineRule="exact" w:line="240"/>
    </w:pPr>
    <w:rPr>
      <w:noProof/>
      <w:sz w:val="24"/>
      <w:lang w:val="en-US"/>
    </w:rPr>
  </w:style>
  <w:style w:type="character" w:customStyle="1" w:styleId="style4112">
    <w:name w:val="EndNote Bibliography Char"/>
    <w:basedOn w:val="style65"/>
    <w:next w:val="style4112"/>
    <w:link w:val="style4111"/>
    <w:rPr>
      <w:rFonts w:ascii="Times New Roman" w:cs="Times New Roman" w:eastAsia="SimSun" w:hAnsi="Times New Roman"/>
      <w:noProof/>
      <w:sz w:val="24"/>
      <w:szCs w:val="20"/>
      <w:lang w:val="en-US"/>
    </w:rPr>
  </w:style>
  <w:style w:type="character" w:styleId="style88">
    <w:name w:val="Emphasis"/>
    <w:basedOn w:val="style65"/>
    <w:next w:val="style88"/>
    <w:qFormat/>
    <w:uiPriority w:val="20"/>
    <w:rPr>
      <w:i/>
      <w:iCs/>
    </w:rPr>
  </w:style>
  <w:style w:type="character" w:customStyle="1" w:styleId="style4113">
    <w:name w:val="hgkelc"/>
    <w:basedOn w:val="style65"/>
    <w:next w:val="style4113"/>
  </w:style>
  <w:style w:type="paragraph" w:customStyle="1" w:styleId="style4114">
    <w:name w:val="Table Paragraph"/>
    <w:basedOn w:val="style0"/>
    <w:next w:val="style4114"/>
    <w:qFormat/>
    <w:uiPriority w:val="1"/>
    <w:pPr>
      <w:autoSpaceDE w:val="false"/>
      <w:autoSpaceDN w:val="false"/>
      <w:spacing w:lineRule="auto" w:line="240"/>
      <w:jc w:val="center"/>
    </w:pPr>
    <w:rPr>
      <w:rFonts w:eastAsia="Times New Roman"/>
      <w:sz w:val="22"/>
      <w:szCs w:val="22"/>
    </w:rPr>
  </w:style>
  <w:style w:type="table" w:customStyle="1" w:styleId="style4115">
    <w:name w:val="Grid Table 1 Light Accent 2"/>
    <w:basedOn w:val="style105"/>
    <w:next w:val="style4115"/>
    <w:uiPriority w:val="46"/>
    <w:pPr>
      <w:spacing w:after="0" w:lineRule="auto" w:line="240"/>
    </w:pPr>
    <w:rPr>
      <w:lang w:val="en-ID"/>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pPr/>
      <w:rPr>
        <w:b/>
        <w:bCs/>
      </w:rPr>
      <w:tblPr/>
      <w:tcPr>
        <w:tcBorders>
          <w:bottom w:val="single" w:sz="12" w:space="0" w:color="d99594"/>
        </w:tcBorders>
      </w:tcPr>
    </w:tblStylePr>
    <w:tblStylePr w:type="lastRow">
      <w:pPr/>
      <w:rPr>
        <w:b/>
        <w:bCs/>
      </w:rPr>
      <w:tblPr/>
      <w:tcPr>
        <w:tcBorders>
          <w:top w:val="double" w:sz="2" w:space="0" w:color="d99594"/>
        </w:tcBorders>
      </w:tcPr>
    </w:tblStylePr>
    <w:tblStylePr w:type="firstCol">
      <w:pPr/>
      <w:rPr>
        <w:b/>
        <w:bCs/>
      </w:rPr>
      <w:tcPr>
        <w:tcBorders/>
      </w:tcPr>
    </w:tblStylePr>
    <w:tblStylePr w:type="lastCol">
      <w:pPr/>
      <w:rPr>
        <w:b/>
        <w:bCs/>
      </w:rPr>
      <w:tcPr>
        <w:tcBorders/>
      </w:tcPr>
    </w:tblStylePr>
    <w:tcPr>
      <w:tcBorders/>
    </w:tc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6"/>
    <w:uiPriority w:val="99"/>
    <w:pPr>
      <w:spacing w:lineRule="auto" w:line="240"/>
    </w:pPr>
    <w:rPr>
      <w:sz w:val="20"/>
    </w:rPr>
  </w:style>
  <w:style w:type="character" w:customStyle="1" w:styleId="style4116">
    <w:name w:val="Comment Text Char"/>
    <w:basedOn w:val="style65"/>
    <w:next w:val="style4116"/>
    <w:link w:val="style30"/>
    <w:uiPriority w:val="99"/>
    <w:rPr>
      <w:rFonts w:ascii="Times New Roman" w:cs="Times New Roman" w:eastAsia="SimSun" w:hAnsi="Times New Roman"/>
      <w:sz w:val="20"/>
      <w:szCs w:val="20"/>
      <w:lang w:val="en-GB"/>
    </w:rPr>
  </w:style>
  <w:style w:type="paragraph" w:styleId="style106">
    <w:name w:val="annotation subject"/>
    <w:basedOn w:val="style30"/>
    <w:next w:val="style30"/>
    <w:link w:val="style4117"/>
    <w:uiPriority w:val="99"/>
    <w:pPr/>
    <w:rPr>
      <w:b/>
      <w:bCs/>
    </w:rPr>
  </w:style>
  <w:style w:type="character" w:customStyle="1" w:styleId="style4117">
    <w:name w:val="Comment Subject Char"/>
    <w:basedOn w:val="style4116"/>
    <w:next w:val="style4117"/>
    <w:link w:val="style106"/>
    <w:uiPriority w:val="99"/>
    <w:rPr>
      <w:rFonts w:ascii="Times New Roman" w:cs="Times New Roman" w:eastAsia="SimSun" w:hAnsi="Times New Roman"/>
      <w:b/>
      <w:bCs/>
      <w:sz w:val="20"/>
      <w:szCs w:val="20"/>
      <w:lang w:val="en-GB"/>
    </w:rPr>
  </w:style>
</w:styles>
</file>

<file path=word/_rels/document.xml.rels><?xml version="1.0" encoding="UTF-8"?>
<Relationships xmlns="http://schemas.openxmlformats.org/package/2006/relationships"><Relationship Id="rId20" Type="http://schemas.openxmlformats.org/officeDocument/2006/relationships/customXml" Target="../customXml/item2.xml"/><Relationship Id="rId11" Type="http://schemas.openxmlformats.org/officeDocument/2006/relationships/footer" Target="footer1.xml"/><Relationship Id="rId10" Type="http://schemas.openxmlformats.org/officeDocument/2006/relationships/oleObject" Target="embeddings/oleObject2.bin"/><Relationship Id="rId13" Type="http://schemas.openxmlformats.org/officeDocument/2006/relationships/header" Target="header3.xml"/><Relationship Id="rId12" Type="http://schemas.openxmlformats.org/officeDocument/2006/relationships/footer" Target="footer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chart" Target="charts/chart1.xml"/><Relationship Id="rId9" Type="http://schemas.openxmlformats.org/officeDocument/2006/relationships/image" Target="media/image2.jpeg"/><Relationship Id="rId15" Type="http://schemas.openxmlformats.org/officeDocument/2006/relationships/styles" Target="styles.xml"/><Relationship Id="rId14" Type="http://schemas.openxmlformats.org/officeDocument/2006/relationships/footer" Target="footer4.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customXml" Target="../customXml/item1.xml"/><Relationship Id="rId6" Type="http://schemas.openxmlformats.org/officeDocument/2006/relationships/oleObject" Target="embeddings/oleObject1.bin"/><Relationship Id="rId18" Type="http://schemas.openxmlformats.org/officeDocument/2006/relationships/theme" Target="theme/theme1.xml"/><Relationship Id="rId7" Type="http://schemas.openxmlformats.org/officeDocument/2006/relationships/chart" Target="charts/chart2.xml"/><Relationship Id="rId8" Type="http://schemas.openxmlformats.org/officeDocument/2006/relationships/chart" Target="charts/chart3.xml"/></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n-lt"/>
                <a:ea typeface="+mj-ea"/>
                <a:cs typeface="+mj-cs"/>
              </a:defRPr>
            </a:pPr>
            <a:r>
              <a:rPr lang="en-ID" sz="1000" b="1">
                <a:solidFill>
                  <a:sysClr val="windowText" lastClr="000000"/>
                </a:solidFill>
                <a:latin typeface="+mn-lt"/>
              </a:rPr>
              <a:t>Infrastructure</a:t>
            </a:r>
          </a:p>
        </c:rich>
      </c:tx>
      <c:overlay val="0"/>
      <c:spPr>
        <a:noFill/>
        <a:ln>
          <a:noFill/>
        </a:ln>
        <a:effectLst/>
      </c:spPr>
    </c:title>
    <c:autoTitleDeleted val="0"/>
    <c:plotArea>
      <c:layout>
        <c:manualLayout>
          <c:layoutTarget val="inner"/>
          <c:xMode val="edge"/>
          <c:yMode val="edge"/>
          <c:x val="0.08614391951006126"/>
          <c:y val="0.1767063492063492"/>
          <c:w val="0.9138560804899387"/>
          <c:h val="0.751078302712161"/>
        </c:manualLayout>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Internet Quota</c:v>
                </c:pt>
                <c:pt idx="1">
                  <c:v>Internet Network</c:v>
                </c:pt>
                <c:pt idx="2">
                  <c:v>Device</c:v>
                </c:pt>
              </c:strCache>
            </c:strRef>
          </c:cat>
          <c:val>
            <c:numRef>
              <c:f>Sheet1!$B$2:$B$4</c:f>
              <c:numCache>
                <c:formatCode>0.0%</c:formatCode>
                <c:ptCount val="3"/>
                <c:pt idx="0">
                  <c:v>0.392</c:v>
                </c:pt>
                <c:pt idx="1">
                  <c:v>0.342</c:v>
                </c:pt>
                <c:pt idx="2">
                  <c:v>0.266</c:v>
                </c:pt>
              </c:numCache>
            </c:numRef>
          </c:val>
        </c:ser>
        <c:dLbls>
          <c:showLegendKey val="0"/>
          <c:showVal val="0"/>
          <c:showCatName val="0"/>
          <c:showSerName val="0"/>
          <c:showPercent val="0"/>
          <c:showBubbleSize val="0"/>
        </c:dLbls>
        <c:gapWidth val="54"/>
        <c:overlap val="55"/>
        <c:axId val="218357760"/>
        <c:axId val="80289088"/>
      </c:barChart>
      <c:catAx>
        <c:axId val="21835776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ysClr val="windowText" lastClr="000000"/>
                </a:solidFill>
                <a:latin typeface="+mn-lt"/>
                <a:ea typeface="+mn-ea"/>
                <a:cs typeface="+mn-cs"/>
              </a:defRPr>
            </a:pPr>
            <a:endParaRPr lang="id-ID"/>
          </a:p>
        </c:txPr>
        <c:crossAx val="80289088"/>
        <c:crosses val="autoZero"/>
        <c:auto val="1"/>
        <c:lblAlgn val="ctr"/>
        <c:lblOffset val="100"/>
        <c:noMultiLvlLbl val="0"/>
      </c:catAx>
      <c:valAx>
        <c:axId val="80289088"/>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tx1">
                    <a:lumMod val="65000"/>
                    <a:lumOff val="35000"/>
                  </a:schemeClr>
                </a:solidFill>
                <a:latin typeface="+mn-lt"/>
                <a:ea typeface="+mn-ea"/>
                <a:cs typeface="+mn-cs"/>
              </a:defRPr>
            </a:pPr>
            <a:endParaRPr lang="id-ID"/>
          </a:p>
        </c:txPr>
        <c:crossAx val="218357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ID" sz="1100" b="1"/>
              <a:t>Causative factor</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solidFill>
              <a:ln>
                <a:no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Parental Economic Gap</c:v>
                </c:pt>
                <c:pt idx="1">
                  <c:v>Geographical</c:v>
                </c:pt>
                <c:pt idx="2">
                  <c:v>Education gap</c:v>
                </c:pt>
              </c:strCache>
            </c:strRef>
          </c:cat>
          <c:val>
            <c:numRef>
              <c:f>Sheet1!$B$2:$B$4</c:f>
              <c:numCache>
                <c:formatCode>0.0%</c:formatCode>
                <c:ptCount val="3"/>
                <c:pt idx="0">
                  <c:v>0.558</c:v>
                </c:pt>
                <c:pt idx="1">
                  <c:v>0.365</c:v>
                </c:pt>
                <c:pt idx="2">
                  <c:v>0.077</c:v>
                </c:pt>
              </c:numCache>
            </c:numRef>
          </c:val>
        </c:ser>
        <c:dLbls>
          <c:showLegendKey val="0"/>
          <c:showVal val="0"/>
          <c:showCatName val="0"/>
          <c:showSerName val="0"/>
          <c:showPercent val="0"/>
          <c:showBubbleSize val="0"/>
        </c:dLbls>
        <c:gapWidth val="69"/>
        <c:overlap val="100"/>
        <c:axId val="148616192"/>
        <c:axId val="80750848"/>
      </c:barChart>
      <c:catAx>
        <c:axId val="14861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0750848"/>
        <c:crosses val="autoZero"/>
        <c:auto val="1"/>
        <c:lblAlgn val="ctr"/>
        <c:lblOffset val="100"/>
        <c:noMultiLvlLbl val="0"/>
      </c:catAx>
      <c:valAx>
        <c:axId val="8075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8616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ID" sz="1100" b="1"/>
              <a:t>Implication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dPt>
          <c:dPt>
            <c:idx val="1"/>
            <c:invertIfNegative val="0"/>
            <c:bubble3D val="0"/>
            <c:spPr>
              <a:solidFill>
                <a:schemeClr val="accent1">
                  <a:lumMod val="60000"/>
                  <a:lumOff val="40000"/>
                </a:schemeClr>
              </a:solidFill>
              <a:ln>
                <a:noFill/>
              </a:ln>
              <a:effectLst/>
            </c:spPr>
          </c:dPt>
          <c:dPt>
            <c:idx val="2"/>
            <c:invertIfNegative val="0"/>
            <c:bubble3D val="0"/>
            <c:spPr>
              <a:solidFill>
                <a:schemeClr val="accent6"/>
              </a:solidFill>
              <a:ln>
                <a:no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Result</c:v>
                </c:pt>
                <c:pt idx="1">
                  <c:v>Learning Experience</c:v>
                </c:pt>
                <c:pt idx="2">
                  <c:v>Learning Outcomes</c:v>
                </c:pt>
              </c:strCache>
            </c:strRef>
          </c:cat>
          <c:val>
            <c:numRef>
              <c:f>Sheet1!$B$2:$B$4</c:f>
              <c:numCache>
                <c:formatCode>0.0%</c:formatCode>
                <c:ptCount val="3"/>
                <c:pt idx="0">
                  <c:v>0.494</c:v>
                </c:pt>
                <c:pt idx="1">
                  <c:v>0.312</c:v>
                </c:pt>
                <c:pt idx="2">
                  <c:v>0.195</c:v>
                </c:pt>
              </c:numCache>
            </c:numRef>
          </c:val>
        </c:ser>
        <c:dLbls>
          <c:showLegendKey val="0"/>
          <c:showVal val="0"/>
          <c:showCatName val="0"/>
          <c:showSerName val="0"/>
          <c:showPercent val="0"/>
          <c:showBubbleSize val="0"/>
        </c:dLbls>
        <c:gapWidth val="69"/>
        <c:overlap val="100"/>
        <c:axId val="148617216"/>
        <c:axId val="123880576"/>
      </c:barChart>
      <c:catAx>
        <c:axId val="14861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3880576"/>
        <c:crosses val="autoZero"/>
        <c:auto val="1"/>
        <c:lblAlgn val="ctr"/>
        <c:lblOffset val="100"/>
        <c:noMultiLvlLbl val="0"/>
      </c:catAx>
      <c:valAx>
        <c:axId val="123880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8617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867C7A8F-DEB5-45FA-8DDB-581A49327F63}">
  <ds:schemaRefs>
    <ds:schemaRef ds:uri="http://schemas.openxmlformats.org/officeDocument/2006/bibliography"/>
  </ds:schemaRefs>
</ds:datastoreItem>
</file>

<file path=customXml/itemProps2.xml><?xml version="1.0" encoding="utf-8"?>
<ds:datastoreItem xmlns:ds="http://schemas.openxmlformats.org/officeDocument/2006/customXml" ds:itemID="{a3f2ff69-a59f-4bd2-89b6-5277da353dcc}">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8891</Words>
  <Pages>25</Pages>
  <Characters>52017</Characters>
  <Application>WPS Office</Application>
  <DocSecurity>0</DocSecurity>
  <Paragraphs>318</Paragraphs>
  <ScaleCrop>false</ScaleCrop>
  <LinksUpToDate>false</LinksUpToDate>
  <CharactersWithSpaces>60764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2023-04-01T03:04:47Z</dcterms:created>
  <dc:creator>WPS Office</dc:creator>
  <lastModifiedBy>21051182G</lastModifiedBy>
  <dcterms:modified xsi:type="dcterms:W3CDTF">2023-04-01T03:04:47Z</dcterms:modified>
  <revision>1</revision>
</coreProperties>
</file>

<file path=docProps/custom.xml><?xml version="1.0" encoding="utf-8"?>
<Properties xmlns="http://schemas.openxmlformats.org/officeDocument/2006/custom-properties" xmlns:vt="http://schemas.openxmlformats.org/officeDocument/2006/docPropsVTypes"/>
</file>