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78753E8D"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5B1C23">
        <w:rPr>
          <w:b/>
          <w:spacing w:val="-2"/>
          <w:position w:val="-1"/>
          <w:sz w:val="24"/>
          <w:szCs w:val="24"/>
        </w:rPr>
        <w:t>INTERNASIONAL BEREPUTASI</w:t>
      </w:r>
    </w:p>
    <w:p w14:paraId="20794990" w14:textId="77777777" w:rsidR="009F52FF" w:rsidRDefault="009F52FF" w:rsidP="009F52FF">
      <w:pPr>
        <w:spacing w:before="6" w:line="120" w:lineRule="exact"/>
        <w:rPr>
          <w:sz w:val="12"/>
          <w:szCs w:val="12"/>
        </w:rPr>
      </w:pPr>
    </w:p>
    <w:p w14:paraId="049EBD27" w14:textId="77777777" w:rsidR="005221BB" w:rsidRDefault="005221BB" w:rsidP="00BD48E1">
      <w:pPr>
        <w:spacing w:line="360" w:lineRule="auto"/>
        <w:ind w:left="230"/>
      </w:pPr>
    </w:p>
    <w:p w14:paraId="03FAAEC9" w14:textId="77777777" w:rsidR="005221BB" w:rsidRDefault="005221BB" w:rsidP="00BD48E1">
      <w:pPr>
        <w:spacing w:line="360" w:lineRule="auto"/>
        <w:ind w:left="230"/>
      </w:pPr>
    </w:p>
    <w:p w14:paraId="603E37D6" w14:textId="77777777" w:rsidR="00574D4F" w:rsidRDefault="009F52FF" w:rsidP="00BD48E1">
      <w:pPr>
        <w:spacing w:line="360" w:lineRule="auto"/>
        <w:ind w:left="230"/>
        <w:rPr>
          <w:rFonts w:asciiTheme="majorBidi" w:hAnsiTheme="majorBidi" w:cstheme="majorBidi"/>
          <w:color w:val="222222"/>
          <w:sz w:val="24"/>
          <w:szCs w:val="24"/>
          <w:shd w:val="clear" w:color="auto" w:fill="FFFFFF"/>
        </w:rPr>
      </w:pPr>
      <w:r>
        <w:rPr>
          <w:spacing w:val="1"/>
          <w:sz w:val="24"/>
          <w:szCs w:val="24"/>
        </w:rPr>
        <w:t>Judul Artikel</w:t>
      </w:r>
      <w:r>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w:t>
      </w:r>
      <w:r w:rsidR="00574D4F" w:rsidRPr="00574D4F">
        <w:rPr>
          <w:rFonts w:asciiTheme="majorBidi" w:hAnsiTheme="majorBidi" w:cstheme="majorBidi"/>
          <w:color w:val="222222"/>
          <w:sz w:val="24"/>
          <w:szCs w:val="24"/>
          <w:shd w:val="clear" w:color="auto" w:fill="FFFFFF"/>
        </w:rPr>
        <w:t xml:space="preserve">A review of misconception in physics: the diagnosis, causes, and </w:t>
      </w:r>
    </w:p>
    <w:p w14:paraId="05F26FFA" w14:textId="61D90837" w:rsidR="00BD48E1" w:rsidRDefault="00574D4F" w:rsidP="00574D4F">
      <w:pPr>
        <w:spacing w:line="360" w:lineRule="auto"/>
        <w:ind w:left="1670" w:firstLine="490"/>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  </w:t>
      </w:r>
      <w:r w:rsidRPr="00574D4F">
        <w:rPr>
          <w:rFonts w:asciiTheme="majorBidi" w:hAnsiTheme="majorBidi" w:cstheme="majorBidi"/>
          <w:color w:val="222222"/>
          <w:sz w:val="24"/>
          <w:szCs w:val="24"/>
          <w:shd w:val="clear" w:color="auto" w:fill="FFFFFF"/>
        </w:rPr>
        <w:t>remediation</w:t>
      </w:r>
      <w:r w:rsidR="00BD48E1" w:rsidRPr="00BD48E1">
        <w:rPr>
          <w:rFonts w:asciiTheme="majorBidi" w:hAnsiTheme="majorBidi" w:cstheme="majorBidi"/>
          <w:color w:val="222222"/>
          <w:sz w:val="24"/>
          <w:szCs w:val="24"/>
          <w:shd w:val="clear" w:color="auto" w:fill="FFFFFF"/>
        </w:rPr>
        <w:t xml:space="preserve"> </w:t>
      </w:r>
    </w:p>
    <w:p w14:paraId="5151C000" w14:textId="7240B9CF" w:rsidR="009F52FF" w:rsidRDefault="009F52FF" w:rsidP="009F52FF">
      <w:pPr>
        <w:spacing w:line="360" w:lineRule="auto"/>
        <w:ind w:left="230"/>
        <w:rPr>
          <w:sz w:val="24"/>
          <w:szCs w:val="24"/>
        </w:rPr>
      </w:pPr>
      <w:r w:rsidRPr="001E757D">
        <w:rPr>
          <w:rFonts w:asciiTheme="majorBidi" w:hAnsiTheme="majorBidi" w:cstheme="majorBidi"/>
          <w:spacing w:val="1"/>
          <w:sz w:val="24"/>
          <w:szCs w:val="24"/>
        </w:rPr>
        <w:t>Jurnal</w:t>
      </w:r>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 xml:space="preserve">: </w:t>
      </w:r>
      <w:r w:rsidR="00362CDF" w:rsidRPr="00362CDF">
        <w:rPr>
          <w:rFonts w:asciiTheme="majorBidi" w:hAnsiTheme="majorBidi" w:cstheme="majorBidi"/>
          <w:spacing w:val="3"/>
          <w:sz w:val="24"/>
          <w:szCs w:val="24"/>
        </w:rPr>
        <w:t>Journal of Turkish Science Education</w:t>
      </w:r>
      <w:r>
        <w:rPr>
          <w:sz w:val="24"/>
          <w:szCs w:val="24"/>
        </w:rPr>
        <w:t>,</w:t>
      </w:r>
      <w:r>
        <w:rPr>
          <w:spacing w:val="4"/>
          <w:sz w:val="24"/>
          <w:szCs w:val="24"/>
        </w:rPr>
        <w:t xml:space="preserve"> </w:t>
      </w:r>
      <w:r>
        <w:rPr>
          <w:sz w:val="24"/>
          <w:szCs w:val="24"/>
        </w:rPr>
        <w:t>20</w:t>
      </w:r>
      <w:r w:rsidR="005D5C82">
        <w:rPr>
          <w:sz w:val="24"/>
          <w:szCs w:val="24"/>
        </w:rPr>
        <w:t>22</w:t>
      </w:r>
      <w:r>
        <w:rPr>
          <w:sz w:val="24"/>
          <w:szCs w:val="24"/>
        </w:rPr>
        <w:t>,</w:t>
      </w:r>
      <w:r>
        <w:rPr>
          <w:spacing w:val="4"/>
          <w:sz w:val="24"/>
          <w:szCs w:val="24"/>
        </w:rPr>
        <w:t xml:space="preserve"> </w:t>
      </w:r>
      <w:r>
        <w:rPr>
          <w:spacing w:val="-5"/>
          <w:sz w:val="24"/>
          <w:szCs w:val="24"/>
        </w:rPr>
        <w:t>V</w:t>
      </w:r>
      <w:r>
        <w:rPr>
          <w:sz w:val="24"/>
          <w:szCs w:val="24"/>
        </w:rPr>
        <w:t>olu</w:t>
      </w:r>
      <w:r>
        <w:rPr>
          <w:spacing w:val="1"/>
          <w:sz w:val="24"/>
          <w:szCs w:val="24"/>
        </w:rPr>
        <w:t>m</w:t>
      </w:r>
      <w:r>
        <w:rPr>
          <w:sz w:val="24"/>
          <w:szCs w:val="24"/>
        </w:rPr>
        <w:t xml:space="preserve">e </w:t>
      </w:r>
      <w:r w:rsidR="005D5C82">
        <w:rPr>
          <w:sz w:val="24"/>
          <w:szCs w:val="24"/>
        </w:rPr>
        <w:t>19</w:t>
      </w:r>
      <w:r>
        <w:rPr>
          <w:sz w:val="24"/>
          <w:szCs w:val="24"/>
        </w:rPr>
        <w:t>,</w:t>
      </w:r>
    </w:p>
    <w:p w14:paraId="483FACDF" w14:textId="1DB4E6C5" w:rsidR="009F52FF" w:rsidRDefault="009F52FF" w:rsidP="009F52FF">
      <w:pPr>
        <w:spacing w:line="360" w:lineRule="auto"/>
        <w:ind w:left="1440" w:firstLine="720"/>
        <w:rPr>
          <w:spacing w:val="1"/>
          <w:sz w:val="24"/>
          <w:szCs w:val="24"/>
        </w:rPr>
      </w:pPr>
      <w:r>
        <w:rPr>
          <w:sz w:val="24"/>
          <w:szCs w:val="24"/>
        </w:rPr>
        <w:t xml:space="preserve">  No. </w:t>
      </w:r>
      <w:r w:rsidR="00AE0AFB">
        <w:rPr>
          <w:sz w:val="24"/>
          <w:szCs w:val="24"/>
        </w:rPr>
        <w:t>2</w:t>
      </w:r>
      <w:r>
        <w:rPr>
          <w:sz w:val="24"/>
          <w:szCs w:val="24"/>
        </w:rPr>
        <w:t>, Hlm.</w:t>
      </w:r>
      <w:r w:rsidR="00AE0AFB" w:rsidRPr="00AE0AFB">
        <w:t xml:space="preserve"> </w:t>
      </w:r>
      <w:r w:rsidR="005D5C82" w:rsidRPr="005D5C82">
        <w:rPr>
          <w:sz w:val="24"/>
          <w:szCs w:val="24"/>
        </w:rPr>
        <w:t>403-427</w:t>
      </w:r>
      <w:r>
        <w:rPr>
          <w:sz w:val="24"/>
          <w:szCs w:val="24"/>
        </w:rPr>
        <w:t>.</w:t>
      </w:r>
    </w:p>
    <w:p w14:paraId="4DD7BDEE" w14:textId="56C2CBE9" w:rsidR="009F52FF" w:rsidRDefault="009F52FF" w:rsidP="009F52FF">
      <w:pPr>
        <w:spacing w:line="360" w:lineRule="auto"/>
        <w:ind w:left="230"/>
        <w:rPr>
          <w:sz w:val="24"/>
          <w:szCs w:val="24"/>
        </w:rPr>
      </w:pPr>
      <w:r>
        <w:rPr>
          <w:spacing w:val="1"/>
          <w:sz w:val="24"/>
          <w:szCs w:val="24"/>
        </w:rPr>
        <w:t>P</w:t>
      </w:r>
      <w:r>
        <w:rPr>
          <w:spacing w:val="-1"/>
          <w:sz w:val="24"/>
          <w:szCs w:val="24"/>
        </w:rPr>
        <w:t>e</w:t>
      </w:r>
      <w:r>
        <w:rPr>
          <w:sz w:val="24"/>
          <w:szCs w:val="24"/>
        </w:rPr>
        <w:t>nul</w:t>
      </w:r>
      <w:r>
        <w:rPr>
          <w:spacing w:val="1"/>
          <w:sz w:val="24"/>
          <w:szCs w:val="24"/>
        </w:rPr>
        <w:t>i</w:t>
      </w:r>
      <w:r>
        <w:rPr>
          <w:sz w:val="24"/>
          <w:szCs w:val="24"/>
        </w:rPr>
        <w:t>s</w:t>
      </w:r>
      <w:r>
        <w:rPr>
          <w:sz w:val="24"/>
          <w:szCs w:val="24"/>
        </w:rPr>
        <w:tab/>
      </w:r>
      <w:r>
        <w:rPr>
          <w:sz w:val="24"/>
          <w:szCs w:val="24"/>
        </w:rPr>
        <w:tab/>
        <w:t xml:space="preserve">: </w:t>
      </w:r>
      <w:r w:rsidR="00997094" w:rsidRPr="00997094">
        <w:rPr>
          <w:sz w:val="24"/>
          <w:szCs w:val="24"/>
        </w:rPr>
        <w:t>Gaguk Resbiantoro, Rahyu Setiani, Dwikoranto</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344"/>
      </w:tblGrid>
      <w:tr w:rsidR="009F52FF" w14:paraId="4EA718C8" w14:textId="77777777" w:rsidTr="00597C98">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344"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597C98">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24E6A71F"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u</w:t>
            </w:r>
            <w:r w:rsidR="00EA6C50">
              <w:rPr>
                <w:sz w:val="24"/>
                <w:szCs w:val="24"/>
              </w:rPr>
              <w:t>b</w:t>
            </w:r>
            <w:r>
              <w:rPr>
                <w:sz w:val="24"/>
                <w:szCs w:val="24"/>
              </w:rPr>
              <w:t>m</w:t>
            </w:r>
            <w:r>
              <w:rPr>
                <w:spacing w:val="1"/>
                <w:sz w:val="24"/>
                <w:szCs w:val="24"/>
              </w:rPr>
              <w:t>i</w:t>
            </w:r>
            <w:r>
              <w:rPr>
                <w:sz w:val="24"/>
                <w:szCs w:val="24"/>
              </w:rPr>
              <w:t>t</w:t>
            </w:r>
          </w:p>
        </w:tc>
        <w:tc>
          <w:tcPr>
            <w:tcW w:w="2344" w:type="dxa"/>
            <w:tcBorders>
              <w:top w:val="single" w:sz="5" w:space="0" w:color="000000"/>
              <w:left w:val="nil"/>
              <w:bottom w:val="single" w:sz="5" w:space="0" w:color="000000"/>
              <w:right w:val="nil"/>
            </w:tcBorders>
          </w:tcPr>
          <w:p w14:paraId="7DEFBE8E" w14:textId="5F692F8E" w:rsidR="009F52FF" w:rsidRDefault="00977DFB" w:rsidP="0021081E">
            <w:pPr>
              <w:spacing w:before="5"/>
              <w:jc w:val="center"/>
              <w:rPr>
                <w:sz w:val="24"/>
                <w:szCs w:val="24"/>
              </w:rPr>
            </w:pPr>
            <w:r>
              <w:rPr>
                <w:sz w:val="24"/>
                <w:szCs w:val="24"/>
              </w:rPr>
              <w:t>18 Mei 2020</w:t>
            </w:r>
          </w:p>
        </w:tc>
      </w:tr>
      <w:tr w:rsidR="009F52FF" w14:paraId="5BE57EA1" w14:textId="77777777" w:rsidTr="00597C98">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bookmarkStart w:id="0" w:name="_Hlk181169209"/>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bookmarkEnd w:id="0"/>
          </w:p>
        </w:tc>
        <w:tc>
          <w:tcPr>
            <w:tcW w:w="2344" w:type="dxa"/>
            <w:tcBorders>
              <w:top w:val="single" w:sz="5" w:space="0" w:color="000000"/>
              <w:left w:val="nil"/>
              <w:bottom w:val="single" w:sz="5" w:space="0" w:color="000000"/>
              <w:right w:val="nil"/>
            </w:tcBorders>
          </w:tcPr>
          <w:p w14:paraId="092141C9" w14:textId="6C709077" w:rsidR="009F52FF" w:rsidRDefault="006F7F26" w:rsidP="0021081E">
            <w:pPr>
              <w:jc w:val="center"/>
              <w:rPr>
                <w:sz w:val="24"/>
                <w:szCs w:val="24"/>
              </w:rPr>
            </w:pPr>
            <w:r>
              <w:rPr>
                <w:sz w:val="24"/>
                <w:szCs w:val="24"/>
              </w:rPr>
              <w:t>2 Mei 2021</w:t>
            </w:r>
          </w:p>
        </w:tc>
      </w:tr>
      <w:tr w:rsidR="009F52FF" w14:paraId="48CA5EEB" w14:textId="77777777" w:rsidTr="00597C98">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344" w:type="dxa"/>
            <w:tcBorders>
              <w:top w:val="single" w:sz="5" w:space="0" w:color="000000"/>
              <w:left w:val="nil"/>
              <w:bottom w:val="single" w:sz="5" w:space="0" w:color="000000"/>
              <w:right w:val="nil"/>
            </w:tcBorders>
          </w:tcPr>
          <w:p w14:paraId="54A7EA0A" w14:textId="6041EAB6" w:rsidR="009F52FF" w:rsidRPr="00D740B1" w:rsidRDefault="0003084A" w:rsidP="0021081E">
            <w:pPr>
              <w:jc w:val="center"/>
              <w:rPr>
                <w:sz w:val="24"/>
                <w:szCs w:val="24"/>
              </w:rPr>
            </w:pPr>
            <w:r>
              <w:rPr>
                <w:sz w:val="24"/>
                <w:szCs w:val="24"/>
              </w:rPr>
              <w:t>19 Juni 2021</w:t>
            </w:r>
          </w:p>
        </w:tc>
      </w:tr>
      <w:tr w:rsidR="00796CF5" w14:paraId="7B72B2BF" w14:textId="77777777" w:rsidTr="0003547C">
        <w:trPr>
          <w:trHeight w:hRule="exact" w:val="423"/>
        </w:trPr>
        <w:tc>
          <w:tcPr>
            <w:tcW w:w="885" w:type="dxa"/>
            <w:tcBorders>
              <w:top w:val="single" w:sz="5" w:space="0" w:color="000000"/>
              <w:left w:val="nil"/>
              <w:bottom w:val="single" w:sz="5" w:space="0" w:color="000000"/>
              <w:right w:val="nil"/>
            </w:tcBorders>
          </w:tcPr>
          <w:p w14:paraId="2492547D" w14:textId="59FF6ABA" w:rsidR="00796CF5" w:rsidRDefault="00796CF5" w:rsidP="0003547C">
            <w:pPr>
              <w:ind w:left="471"/>
              <w:rPr>
                <w:sz w:val="24"/>
                <w:szCs w:val="24"/>
              </w:rPr>
            </w:pPr>
            <w:r>
              <w:rPr>
                <w:sz w:val="24"/>
                <w:szCs w:val="24"/>
              </w:rPr>
              <w:t>4.</w:t>
            </w:r>
          </w:p>
        </w:tc>
        <w:tc>
          <w:tcPr>
            <w:tcW w:w="5658" w:type="dxa"/>
            <w:tcBorders>
              <w:top w:val="single" w:sz="5" w:space="0" w:color="000000"/>
              <w:left w:val="nil"/>
              <w:bottom w:val="single" w:sz="5" w:space="0" w:color="000000"/>
              <w:right w:val="nil"/>
            </w:tcBorders>
          </w:tcPr>
          <w:p w14:paraId="1CC01774" w14:textId="1FF2C21B" w:rsidR="00796CF5" w:rsidRDefault="00796CF5" w:rsidP="0003547C">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sidR="00A83E9A">
              <w:rPr>
                <w:sz w:val="24"/>
                <w:szCs w:val="24"/>
              </w:rPr>
              <w:t>kedua</w:t>
            </w:r>
          </w:p>
        </w:tc>
        <w:tc>
          <w:tcPr>
            <w:tcW w:w="2344" w:type="dxa"/>
            <w:tcBorders>
              <w:top w:val="single" w:sz="5" w:space="0" w:color="000000"/>
              <w:left w:val="nil"/>
              <w:bottom w:val="single" w:sz="5" w:space="0" w:color="000000"/>
              <w:right w:val="nil"/>
            </w:tcBorders>
          </w:tcPr>
          <w:p w14:paraId="10508107" w14:textId="54F24C0B" w:rsidR="00796CF5" w:rsidRDefault="00A57BDF" w:rsidP="0003547C">
            <w:pPr>
              <w:jc w:val="center"/>
              <w:rPr>
                <w:sz w:val="24"/>
                <w:szCs w:val="24"/>
              </w:rPr>
            </w:pPr>
            <w:r>
              <w:rPr>
                <w:sz w:val="24"/>
                <w:szCs w:val="24"/>
              </w:rPr>
              <w:t>3 Desember 2021</w:t>
            </w:r>
          </w:p>
        </w:tc>
      </w:tr>
      <w:tr w:rsidR="00796CF5" w14:paraId="236A5BA9" w14:textId="77777777" w:rsidTr="0003547C">
        <w:trPr>
          <w:trHeight w:hRule="exact" w:val="840"/>
        </w:trPr>
        <w:tc>
          <w:tcPr>
            <w:tcW w:w="885" w:type="dxa"/>
            <w:tcBorders>
              <w:top w:val="single" w:sz="5" w:space="0" w:color="000000"/>
              <w:left w:val="nil"/>
              <w:bottom w:val="single" w:sz="5" w:space="0" w:color="000000"/>
              <w:right w:val="nil"/>
            </w:tcBorders>
          </w:tcPr>
          <w:p w14:paraId="7A4034FB" w14:textId="58FB50D8" w:rsidR="00796CF5" w:rsidRDefault="00796CF5" w:rsidP="0003547C">
            <w:pPr>
              <w:ind w:left="471"/>
              <w:rPr>
                <w:sz w:val="24"/>
                <w:szCs w:val="24"/>
              </w:rPr>
            </w:pPr>
            <w:r>
              <w:rPr>
                <w:sz w:val="24"/>
                <w:szCs w:val="24"/>
              </w:rPr>
              <w:t>5.</w:t>
            </w:r>
          </w:p>
        </w:tc>
        <w:tc>
          <w:tcPr>
            <w:tcW w:w="5658" w:type="dxa"/>
            <w:tcBorders>
              <w:top w:val="single" w:sz="5" w:space="0" w:color="000000"/>
              <w:left w:val="nil"/>
              <w:bottom w:val="single" w:sz="5" w:space="0" w:color="000000"/>
              <w:right w:val="nil"/>
            </w:tcBorders>
          </w:tcPr>
          <w:p w14:paraId="0C3D7B18" w14:textId="0160DFAC" w:rsidR="00796CF5" w:rsidRDefault="00796CF5" w:rsidP="0003547C">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sidR="00A83E9A">
              <w:rPr>
                <w:sz w:val="24"/>
                <w:szCs w:val="24"/>
              </w:rPr>
              <w:t>kedua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344" w:type="dxa"/>
            <w:tcBorders>
              <w:top w:val="single" w:sz="5" w:space="0" w:color="000000"/>
              <w:left w:val="nil"/>
              <w:bottom w:val="single" w:sz="5" w:space="0" w:color="000000"/>
              <w:right w:val="nil"/>
            </w:tcBorders>
          </w:tcPr>
          <w:p w14:paraId="2DA80F94" w14:textId="3C26396B" w:rsidR="00796CF5" w:rsidRPr="00D740B1" w:rsidRDefault="002577EC" w:rsidP="0003547C">
            <w:pPr>
              <w:jc w:val="center"/>
              <w:rPr>
                <w:sz w:val="24"/>
                <w:szCs w:val="24"/>
              </w:rPr>
            </w:pPr>
            <w:r>
              <w:rPr>
                <w:sz w:val="24"/>
                <w:szCs w:val="24"/>
              </w:rPr>
              <w:t>5 Desember 2021</w:t>
            </w:r>
          </w:p>
        </w:tc>
      </w:tr>
      <w:tr w:rsidR="009F52FF" w14:paraId="2CDD5E75" w14:textId="77777777" w:rsidTr="000C43F1">
        <w:trPr>
          <w:trHeight w:hRule="exact" w:val="687"/>
        </w:trPr>
        <w:tc>
          <w:tcPr>
            <w:tcW w:w="885" w:type="dxa"/>
            <w:tcBorders>
              <w:top w:val="single" w:sz="5" w:space="0" w:color="000000"/>
              <w:left w:val="nil"/>
              <w:bottom w:val="single" w:sz="5" w:space="0" w:color="000000"/>
              <w:right w:val="nil"/>
            </w:tcBorders>
          </w:tcPr>
          <w:p w14:paraId="16A83CAF" w14:textId="4AE3F197" w:rsidR="009F52FF" w:rsidRDefault="00796CF5" w:rsidP="00E7099B">
            <w:pPr>
              <w:ind w:left="471"/>
              <w:rPr>
                <w:sz w:val="24"/>
                <w:szCs w:val="24"/>
              </w:rPr>
            </w:pPr>
            <w:r>
              <w:rPr>
                <w:sz w:val="24"/>
                <w:szCs w:val="24"/>
              </w:rPr>
              <w:t>6</w:t>
            </w:r>
            <w:r w:rsidR="009F52FF">
              <w:rPr>
                <w:sz w:val="24"/>
                <w:szCs w:val="24"/>
              </w:rPr>
              <w:t>.</w:t>
            </w:r>
          </w:p>
        </w:tc>
        <w:tc>
          <w:tcPr>
            <w:tcW w:w="5658" w:type="dxa"/>
            <w:tcBorders>
              <w:top w:val="single" w:sz="5" w:space="0" w:color="000000"/>
              <w:left w:val="nil"/>
              <w:bottom w:val="single" w:sz="5" w:space="0" w:color="000000"/>
              <w:right w:val="nil"/>
            </w:tcBorders>
          </w:tcPr>
          <w:p w14:paraId="4F2CBAD9" w14:textId="30A4CD3C"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r w:rsidR="000C43F1">
              <w:rPr>
                <w:sz w:val="24"/>
                <w:szCs w:val="24"/>
              </w:rPr>
              <w:t xml:space="preserve"> serta masuk </w:t>
            </w:r>
            <w:r w:rsidR="000C43F1">
              <w:rPr>
                <w:spacing w:val="3"/>
                <w:sz w:val="24"/>
                <w:szCs w:val="24"/>
              </w:rPr>
              <w:t xml:space="preserve">tahap </w:t>
            </w:r>
            <w:r w:rsidR="000C43F1" w:rsidRPr="008A2232">
              <w:rPr>
                <w:spacing w:val="3"/>
                <w:sz w:val="24"/>
                <w:szCs w:val="24"/>
              </w:rPr>
              <w:t>proofreading and editing</w:t>
            </w:r>
          </w:p>
        </w:tc>
        <w:tc>
          <w:tcPr>
            <w:tcW w:w="2344" w:type="dxa"/>
            <w:tcBorders>
              <w:top w:val="single" w:sz="5" w:space="0" w:color="000000"/>
              <w:left w:val="nil"/>
              <w:bottom w:val="single" w:sz="5" w:space="0" w:color="000000"/>
              <w:right w:val="nil"/>
            </w:tcBorders>
          </w:tcPr>
          <w:p w14:paraId="0208F64B" w14:textId="40EFB2F2" w:rsidR="009F52FF" w:rsidRDefault="00A57BDF" w:rsidP="0021081E">
            <w:pPr>
              <w:jc w:val="center"/>
              <w:rPr>
                <w:sz w:val="24"/>
                <w:szCs w:val="24"/>
              </w:rPr>
            </w:pPr>
            <w:r>
              <w:rPr>
                <w:sz w:val="24"/>
                <w:szCs w:val="24"/>
              </w:rPr>
              <w:t>10 Januari 2022</w:t>
            </w:r>
          </w:p>
        </w:tc>
      </w:tr>
      <w:tr w:rsidR="008A2232" w14:paraId="1E9AF058" w14:textId="77777777" w:rsidTr="0003547C">
        <w:trPr>
          <w:trHeight w:hRule="exact" w:val="624"/>
        </w:trPr>
        <w:tc>
          <w:tcPr>
            <w:tcW w:w="885" w:type="dxa"/>
            <w:tcBorders>
              <w:top w:val="single" w:sz="5" w:space="0" w:color="000000"/>
              <w:left w:val="nil"/>
              <w:bottom w:val="single" w:sz="5" w:space="0" w:color="000000"/>
              <w:right w:val="nil"/>
            </w:tcBorders>
          </w:tcPr>
          <w:p w14:paraId="3DC21E87" w14:textId="7DBCA5E7" w:rsidR="008A2232" w:rsidRDefault="000C43F1" w:rsidP="0003547C">
            <w:pPr>
              <w:ind w:left="471"/>
              <w:rPr>
                <w:sz w:val="24"/>
                <w:szCs w:val="24"/>
              </w:rPr>
            </w:pPr>
            <w:r>
              <w:rPr>
                <w:sz w:val="24"/>
                <w:szCs w:val="24"/>
              </w:rPr>
              <w:t>7</w:t>
            </w:r>
            <w:r w:rsidR="008A2232">
              <w:rPr>
                <w:sz w:val="24"/>
                <w:szCs w:val="24"/>
              </w:rPr>
              <w:t>.</w:t>
            </w:r>
          </w:p>
        </w:tc>
        <w:tc>
          <w:tcPr>
            <w:tcW w:w="5658" w:type="dxa"/>
            <w:tcBorders>
              <w:top w:val="single" w:sz="5" w:space="0" w:color="000000"/>
              <w:left w:val="nil"/>
              <w:bottom w:val="single" w:sz="5" w:space="0" w:color="000000"/>
              <w:right w:val="nil"/>
            </w:tcBorders>
          </w:tcPr>
          <w:p w14:paraId="5B19E90C" w14:textId="77777777" w:rsidR="008A2232" w:rsidRDefault="008A2232" w:rsidP="0003547C">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tahap produksi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344" w:type="dxa"/>
            <w:tcBorders>
              <w:top w:val="single" w:sz="5" w:space="0" w:color="000000"/>
              <w:left w:val="nil"/>
              <w:bottom w:val="single" w:sz="5" w:space="0" w:color="000000"/>
              <w:right w:val="nil"/>
            </w:tcBorders>
          </w:tcPr>
          <w:p w14:paraId="0C0E608E" w14:textId="220335E4" w:rsidR="008A2232" w:rsidRDefault="00EC0B2B" w:rsidP="0003547C">
            <w:pPr>
              <w:jc w:val="center"/>
              <w:rPr>
                <w:sz w:val="24"/>
                <w:szCs w:val="24"/>
              </w:rPr>
            </w:pPr>
            <w:bookmarkStart w:id="1" w:name="_Hlk181170160"/>
            <w:r>
              <w:rPr>
                <w:sz w:val="24"/>
                <w:szCs w:val="24"/>
              </w:rPr>
              <w:t>27 Juni</w:t>
            </w:r>
            <w:r w:rsidR="008A2232">
              <w:rPr>
                <w:sz w:val="24"/>
                <w:szCs w:val="24"/>
              </w:rPr>
              <w:t xml:space="preserve"> </w:t>
            </w:r>
            <w:r w:rsidR="008A2232" w:rsidRPr="0022497A">
              <w:rPr>
                <w:sz w:val="24"/>
                <w:szCs w:val="24"/>
              </w:rPr>
              <w:t>2022</w:t>
            </w:r>
            <w:bookmarkEnd w:id="1"/>
          </w:p>
        </w:tc>
      </w:tr>
      <w:tr w:rsidR="00F37279" w14:paraId="05C0FBAD" w14:textId="77777777" w:rsidTr="00713B2D">
        <w:trPr>
          <w:trHeight w:hRule="exact" w:val="453"/>
        </w:trPr>
        <w:tc>
          <w:tcPr>
            <w:tcW w:w="885" w:type="dxa"/>
            <w:tcBorders>
              <w:top w:val="single" w:sz="5" w:space="0" w:color="000000"/>
              <w:left w:val="nil"/>
              <w:bottom w:val="single" w:sz="5" w:space="0" w:color="000000"/>
              <w:right w:val="nil"/>
            </w:tcBorders>
          </w:tcPr>
          <w:p w14:paraId="53D2A490" w14:textId="276162C5" w:rsidR="00F37279" w:rsidRDefault="000C43F1" w:rsidP="0003547C">
            <w:pPr>
              <w:ind w:left="471"/>
              <w:rPr>
                <w:sz w:val="24"/>
                <w:szCs w:val="24"/>
              </w:rPr>
            </w:pPr>
            <w:r>
              <w:rPr>
                <w:sz w:val="24"/>
                <w:szCs w:val="24"/>
              </w:rPr>
              <w:t>8</w:t>
            </w:r>
            <w:r w:rsidR="00F37279">
              <w:rPr>
                <w:sz w:val="24"/>
                <w:szCs w:val="24"/>
              </w:rPr>
              <w:t>.</w:t>
            </w:r>
          </w:p>
        </w:tc>
        <w:tc>
          <w:tcPr>
            <w:tcW w:w="5658" w:type="dxa"/>
            <w:tcBorders>
              <w:top w:val="single" w:sz="5" w:space="0" w:color="000000"/>
              <w:left w:val="nil"/>
              <w:bottom w:val="single" w:sz="5" w:space="0" w:color="000000"/>
              <w:right w:val="nil"/>
            </w:tcBorders>
          </w:tcPr>
          <w:p w14:paraId="53000992" w14:textId="3CAAF98D" w:rsidR="00F37279" w:rsidRDefault="00F37279" w:rsidP="0003547C">
            <w:pPr>
              <w:ind w:left="215"/>
              <w:rPr>
                <w:spacing w:val="-2"/>
                <w:sz w:val="24"/>
                <w:szCs w:val="24"/>
              </w:rPr>
            </w:pPr>
            <w:r>
              <w:rPr>
                <w:spacing w:val="-2"/>
                <w:sz w:val="24"/>
                <w:szCs w:val="24"/>
              </w:rPr>
              <w:t>Bukti konfirmasi published online</w:t>
            </w:r>
          </w:p>
        </w:tc>
        <w:tc>
          <w:tcPr>
            <w:tcW w:w="2344" w:type="dxa"/>
            <w:tcBorders>
              <w:top w:val="single" w:sz="5" w:space="0" w:color="000000"/>
              <w:left w:val="nil"/>
              <w:bottom w:val="single" w:sz="5" w:space="0" w:color="000000"/>
              <w:right w:val="nil"/>
            </w:tcBorders>
          </w:tcPr>
          <w:p w14:paraId="437BF709" w14:textId="4673764F" w:rsidR="00F37279" w:rsidRDefault="00F37279" w:rsidP="0003547C">
            <w:pPr>
              <w:jc w:val="center"/>
              <w:rPr>
                <w:sz w:val="24"/>
                <w:szCs w:val="24"/>
              </w:rPr>
            </w:pPr>
            <w:r>
              <w:rPr>
                <w:sz w:val="24"/>
                <w:szCs w:val="24"/>
              </w:rPr>
              <w:t>30 Juni 2022</w:t>
            </w:r>
          </w:p>
        </w:tc>
      </w:tr>
    </w:tbl>
    <w:p w14:paraId="65303D51" w14:textId="77777777" w:rsidR="009F52FF" w:rsidRDefault="009F52FF" w:rsidP="009F52FF"/>
    <w:p w14:paraId="3DFA9559"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3E82D3D9" w14:textId="77777777" w:rsidR="00E9012F" w:rsidRDefault="00E9012F" w:rsidP="005A6C76">
      <w:pPr>
        <w:pStyle w:val="ListParagraph"/>
        <w:numPr>
          <w:ilvl w:val="0"/>
          <w:numId w:val="1"/>
        </w:numPr>
        <w:spacing w:before="4" w:line="257" w:lineRule="auto"/>
        <w:ind w:left="426" w:right="-64"/>
        <w:rPr>
          <w:b/>
          <w:spacing w:val="-2"/>
          <w:sz w:val="44"/>
          <w:szCs w:val="44"/>
        </w:rPr>
        <w:sectPr w:rsidR="00E9012F" w:rsidSect="000463B8">
          <w:pgSz w:w="11906" w:h="16838" w:code="9"/>
          <w:pgMar w:top="1440" w:right="1440" w:bottom="1440" w:left="1440" w:header="708" w:footer="708" w:gutter="0"/>
          <w:cols w:space="708"/>
          <w:docGrid w:linePitch="360"/>
        </w:sectPr>
      </w:pPr>
    </w:p>
    <w:p w14:paraId="196AEF08" w14:textId="6FE29E75" w:rsidR="009F52FF" w:rsidRPr="00252F73" w:rsidRDefault="009F52FF" w:rsidP="005A6C76">
      <w:pPr>
        <w:pStyle w:val="ListParagraph"/>
        <w:numPr>
          <w:ilvl w:val="0"/>
          <w:numId w:val="1"/>
        </w:numPr>
        <w:spacing w:before="4" w:line="257" w:lineRule="auto"/>
        <w:ind w:left="426" w:right="-64"/>
        <w:rPr>
          <w:b/>
          <w:sz w:val="36"/>
          <w:szCs w:val="36"/>
        </w:rPr>
      </w:pPr>
      <w:r w:rsidRPr="00252F73">
        <w:rPr>
          <w:b/>
          <w:spacing w:val="-2"/>
          <w:sz w:val="36"/>
          <w:szCs w:val="36"/>
        </w:rPr>
        <w:lastRenderedPageBreak/>
        <w:t>B</w:t>
      </w:r>
      <w:r w:rsidRPr="00252F73">
        <w:rPr>
          <w:b/>
          <w:sz w:val="36"/>
          <w:szCs w:val="36"/>
        </w:rPr>
        <w:t>u</w:t>
      </w:r>
      <w:r w:rsidRPr="00252F73">
        <w:rPr>
          <w:b/>
          <w:spacing w:val="-1"/>
          <w:sz w:val="36"/>
          <w:szCs w:val="36"/>
        </w:rPr>
        <w:t>k</w:t>
      </w:r>
      <w:r w:rsidRPr="00252F73">
        <w:rPr>
          <w:b/>
          <w:spacing w:val="1"/>
          <w:sz w:val="36"/>
          <w:szCs w:val="36"/>
        </w:rPr>
        <w:t>t</w:t>
      </w:r>
      <w:r w:rsidRPr="00252F73">
        <w:rPr>
          <w:b/>
          <w:sz w:val="36"/>
          <w:szCs w:val="36"/>
        </w:rPr>
        <w:t>i</w:t>
      </w:r>
      <w:r w:rsidRPr="00252F73">
        <w:rPr>
          <w:b/>
          <w:spacing w:val="-3"/>
          <w:sz w:val="36"/>
          <w:szCs w:val="36"/>
        </w:rPr>
        <w:t xml:space="preserve"> </w:t>
      </w:r>
      <w:r w:rsidRPr="00252F73">
        <w:rPr>
          <w:b/>
          <w:spacing w:val="2"/>
          <w:sz w:val="36"/>
          <w:szCs w:val="36"/>
        </w:rPr>
        <w:t>K</w:t>
      </w:r>
      <w:r w:rsidRPr="00252F73">
        <w:rPr>
          <w:b/>
          <w:sz w:val="36"/>
          <w:szCs w:val="36"/>
        </w:rPr>
        <w:t>on</w:t>
      </w:r>
      <w:r w:rsidRPr="00252F73">
        <w:rPr>
          <w:b/>
          <w:spacing w:val="-4"/>
          <w:sz w:val="36"/>
          <w:szCs w:val="36"/>
        </w:rPr>
        <w:t>f</w:t>
      </w:r>
      <w:r w:rsidRPr="00252F73">
        <w:rPr>
          <w:b/>
          <w:spacing w:val="2"/>
          <w:sz w:val="36"/>
          <w:szCs w:val="36"/>
        </w:rPr>
        <w:t>i</w:t>
      </w:r>
      <w:r w:rsidRPr="00252F73">
        <w:rPr>
          <w:b/>
          <w:spacing w:val="-4"/>
          <w:sz w:val="36"/>
          <w:szCs w:val="36"/>
        </w:rPr>
        <w:t>r</w:t>
      </w:r>
      <w:r w:rsidRPr="00252F73">
        <w:rPr>
          <w:b/>
          <w:spacing w:val="1"/>
          <w:sz w:val="36"/>
          <w:szCs w:val="36"/>
        </w:rPr>
        <w:t>m</w:t>
      </w:r>
      <w:r w:rsidRPr="00252F73">
        <w:rPr>
          <w:b/>
          <w:sz w:val="36"/>
          <w:szCs w:val="36"/>
        </w:rPr>
        <w:t>a</w:t>
      </w:r>
      <w:r w:rsidRPr="00252F73">
        <w:rPr>
          <w:b/>
          <w:spacing w:val="-4"/>
          <w:sz w:val="36"/>
          <w:szCs w:val="36"/>
        </w:rPr>
        <w:t>s</w:t>
      </w:r>
      <w:r w:rsidRPr="00252F73">
        <w:rPr>
          <w:b/>
          <w:sz w:val="36"/>
          <w:szCs w:val="36"/>
        </w:rPr>
        <w:t>i</w:t>
      </w:r>
      <w:r w:rsidRPr="00252F73">
        <w:rPr>
          <w:b/>
          <w:spacing w:val="6"/>
          <w:sz w:val="36"/>
          <w:szCs w:val="36"/>
        </w:rPr>
        <w:t xml:space="preserve"> </w:t>
      </w:r>
      <w:r w:rsidRPr="00252F73">
        <w:rPr>
          <w:b/>
          <w:sz w:val="36"/>
          <w:szCs w:val="36"/>
        </w:rPr>
        <w:t>S</w:t>
      </w:r>
      <w:r w:rsidRPr="00252F73">
        <w:rPr>
          <w:b/>
          <w:spacing w:val="-1"/>
          <w:sz w:val="36"/>
          <w:szCs w:val="36"/>
        </w:rPr>
        <w:t>u</w:t>
      </w:r>
      <w:r w:rsidRPr="00252F73">
        <w:rPr>
          <w:b/>
          <w:spacing w:val="-6"/>
          <w:sz w:val="36"/>
          <w:szCs w:val="36"/>
        </w:rPr>
        <w:t>b</w:t>
      </w:r>
      <w:r w:rsidRPr="00252F73">
        <w:rPr>
          <w:b/>
          <w:spacing w:val="1"/>
          <w:sz w:val="36"/>
          <w:szCs w:val="36"/>
        </w:rPr>
        <w:t>m</w:t>
      </w:r>
      <w:r w:rsidRPr="00252F73">
        <w:rPr>
          <w:b/>
          <w:spacing w:val="-3"/>
          <w:sz w:val="36"/>
          <w:szCs w:val="36"/>
        </w:rPr>
        <w:t>i</w:t>
      </w:r>
      <w:r w:rsidRPr="00252F73">
        <w:rPr>
          <w:b/>
          <w:sz w:val="36"/>
          <w:szCs w:val="36"/>
        </w:rPr>
        <w:t>t</w:t>
      </w:r>
      <w:r w:rsidRPr="00252F73">
        <w:rPr>
          <w:b/>
          <w:spacing w:val="-3"/>
          <w:sz w:val="36"/>
          <w:szCs w:val="36"/>
        </w:rPr>
        <w:t xml:space="preserve"> </w:t>
      </w:r>
      <w:r w:rsidRPr="00252F73">
        <w:rPr>
          <w:b/>
          <w:spacing w:val="-2"/>
          <w:sz w:val="36"/>
          <w:szCs w:val="36"/>
        </w:rPr>
        <w:t>A</w:t>
      </w:r>
      <w:r w:rsidRPr="00252F73">
        <w:rPr>
          <w:b/>
          <w:sz w:val="36"/>
          <w:szCs w:val="36"/>
        </w:rPr>
        <w:t>r</w:t>
      </w:r>
      <w:r w:rsidRPr="00252F73">
        <w:rPr>
          <w:b/>
          <w:spacing w:val="2"/>
          <w:sz w:val="36"/>
          <w:szCs w:val="36"/>
        </w:rPr>
        <w:t>ti</w:t>
      </w:r>
      <w:r w:rsidRPr="00252F73">
        <w:rPr>
          <w:b/>
          <w:sz w:val="36"/>
          <w:szCs w:val="36"/>
        </w:rPr>
        <w:t>k</w:t>
      </w:r>
      <w:r w:rsidRPr="00252F73">
        <w:rPr>
          <w:b/>
          <w:spacing w:val="-5"/>
          <w:sz w:val="36"/>
          <w:szCs w:val="36"/>
        </w:rPr>
        <w:t>e</w:t>
      </w:r>
      <w:r w:rsidRPr="00252F73">
        <w:rPr>
          <w:b/>
          <w:sz w:val="36"/>
          <w:szCs w:val="36"/>
        </w:rPr>
        <w:t xml:space="preserve">l dan </w:t>
      </w:r>
      <w:r w:rsidRPr="00252F73">
        <w:rPr>
          <w:b/>
          <w:spacing w:val="-2"/>
          <w:sz w:val="36"/>
          <w:szCs w:val="36"/>
        </w:rPr>
        <w:t>A</w:t>
      </w:r>
      <w:r w:rsidRPr="00252F73">
        <w:rPr>
          <w:b/>
          <w:sz w:val="36"/>
          <w:szCs w:val="36"/>
        </w:rPr>
        <w:t>r</w:t>
      </w:r>
      <w:r w:rsidRPr="00252F73">
        <w:rPr>
          <w:b/>
          <w:spacing w:val="2"/>
          <w:sz w:val="36"/>
          <w:szCs w:val="36"/>
        </w:rPr>
        <w:t>ti</w:t>
      </w:r>
      <w:r w:rsidRPr="00252F73">
        <w:rPr>
          <w:b/>
          <w:spacing w:val="-6"/>
          <w:sz w:val="36"/>
          <w:szCs w:val="36"/>
        </w:rPr>
        <w:t>k</w:t>
      </w:r>
      <w:r w:rsidRPr="00252F73">
        <w:rPr>
          <w:b/>
          <w:sz w:val="36"/>
          <w:szCs w:val="36"/>
        </w:rPr>
        <w:t>el</w:t>
      </w:r>
      <w:r w:rsidRPr="00252F73">
        <w:rPr>
          <w:b/>
          <w:spacing w:val="-2"/>
          <w:sz w:val="36"/>
          <w:szCs w:val="36"/>
        </w:rPr>
        <w:t xml:space="preserve"> </w:t>
      </w:r>
      <w:r w:rsidRPr="00252F73">
        <w:rPr>
          <w:b/>
          <w:sz w:val="36"/>
          <w:szCs w:val="36"/>
        </w:rPr>
        <w:t xml:space="preserve">yang </w:t>
      </w:r>
      <w:r w:rsidRPr="00252F73">
        <w:rPr>
          <w:b/>
          <w:spacing w:val="-3"/>
          <w:sz w:val="36"/>
          <w:szCs w:val="36"/>
        </w:rPr>
        <w:t>Di</w:t>
      </w:r>
      <w:r w:rsidRPr="00252F73">
        <w:rPr>
          <w:b/>
          <w:sz w:val="36"/>
          <w:szCs w:val="36"/>
        </w:rPr>
        <w:t>sub</w:t>
      </w:r>
      <w:r w:rsidRPr="00252F73">
        <w:rPr>
          <w:b/>
          <w:spacing w:val="-4"/>
          <w:sz w:val="36"/>
          <w:szCs w:val="36"/>
        </w:rPr>
        <w:t>m</w:t>
      </w:r>
      <w:r w:rsidRPr="00252F73">
        <w:rPr>
          <w:b/>
          <w:spacing w:val="-3"/>
          <w:sz w:val="36"/>
          <w:szCs w:val="36"/>
        </w:rPr>
        <w:t>i</w:t>
      </w:r>
      <w:r w:rsidRPr="00252F73">
        <w:rPr>
          <w:b/>
          <w:sz w:val="36"/>
          <w:szCs w:val="36"/>
        </w:rPr>
        <w:t>t (</w:t>
      </w:r>
      <w:r w:rsidR="000465BA" w:rsidRPr="00252F73">
        <w:rPr>
          <w:b/>
          <w:sz w:val="36"/>
          <w:szCs w:val="36"/>
        </w:rPr>
        <w:t>18 Mei 2020</w:t>
      </w:r>
      <w:r w:rsidRPr="00252F73">
        <w:rPr>
          <w:b/>
          <w:sz w:val="36"/>
          <w:szCs w:val="36"/>
        </w:rPr>
        <w:t>)</w:t>
      </w:r>
    </w:p>
    <w:p w14:paraId="43255289" w14:textId="77777777" w:rsidR="0038442D" w:rsidRDefault="0038442D" w:rsidP="0038442D">
      <w:pPr>
        <w:pStyle w:val="ListParagraph"/>
        <w:spacing w:before="4" w:line="257" w:lineRule="auto"/>
        <w:ind w:left="426" w:right="711"/>
        <w:rPr>
          <w:b/>
          <w:sz w:val="44"/>
          <w:szCs w:val="44"/>
        </w:rPr>
      </w:pPr>
    </w:p>
    <w:p w14:paraId="6873A96F" w14:textId="72B42405" w:rsidR="004557B6" w:rsidRPr="005A6C76" w:rsidRDefault="002C659D" w:rsidP="005A6C76">
      <w:pPr>
        <w:spacing w:before="4" w:line="257" w:lineRule="auto"/>
        <w:ind w:right="711"/>
        <w:rPr>
          <w:b/>
          <w:sz w:val="44"/>
          <w:szCs w:val="44"/>
        </w:rPr>
      </w:pPr>
      <w:r w:rsidRPr="002C659D">
        <w:rPr>
          <w:b/>
          <w:sz w:val="44"/>
          <w:szCs w:val="44"/>
        </w:rPr>
        <w:drawing>
          <wp:inline distT="0" distB="0" distL="0" distR="0" wp14:anchorId="03D6B980" wp14:editId="0607E95D">
            <wp:extent cx="5731510" cy="29330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33065"/>
                    </a:xfrm>
                    <a:prstGeom prst="rect">
                      <a:avLst/>
                    </a:prstGeom>
                  </pic:spPr>
                </pic:pic>
              </a:graphicData>
            </a:graphic>
          </wp:inline>
        </w:drawing>
      </w:r>
    </w:p>
    <w:p w14:paraId="44150EFA" w14:textId="77777777" w:rsidR="0038442D" w:rsidRDefault="0038442D" w:rsidP="004557B6">
      <w:pPr>
        <w:jc w:val="center"/>
        <w:rPr>
          <w:b/>
          <w:sz w:val="24"/>
          <w:szCs w:val="24"/>
          <w:lang w:eastAsia="zh-CN"/>
        </w:rPr>
      </w:pPr>
    </w:p>
    <w:p w14:paraId="5F45488C" w14:textId="77777777" w:rsidR="0038442D" w:rsidRDefault="0038442D" w:rsidP="004557B6">
      <w:pPr>
        <w:jc w:val="center"/>
        <w:rPr>
          <w:b/>
          <w:sz w:val="24"/>
          <w:szCs w:val="24"/>
          <w:lang w:eastAsia="zh-CN"/>
        </w:rPr>
      </w:pPr>
    </w:p>
    <w:p w14:paraId="7A7330FD" w14:textId="7FE6A1E0" w:rsidR="004557B6" w:rsidRDefault="004557B6" w:rsidP="004557B6">
      <w:pPr>
        <w:rPr>
          <w:sz w:val="24"/>
          <w:szCs w:val="24"/>
        </w:rPr>
      </w:pPr>
    </w:p>
    <w:p w14:paraId="3C4176CE" w14:textId="77777777" w:rsidR="00AD23CC" w:rsidRPr="00AD23CC" w:rsidRDefault="00AD23CC" w:rsidP="00AD23CC">
      <w:pPr>
        <w:spacing w:after="160" w:line="259" w:lineRule="auto"/>
        <w:jc w:val="center"/>
        <w:rPr>
          <w:rFonts w:ascii="Calibri" w:eastAsia="Calibri" w:hAnsi="Calibri" w:cs="Arial"/>
          <w:b/>
          <w:bCs/>
          <w:sz w:val="24"/>
          <w:szCs w:val="24"/>
          <w:lang w:val="id-ID"/>
        </w:rPr>
      </w:pPr>
      <w:r w:rsidRPr="00AD23CC">
        <w:rPr>
          <w:rFonts w:ascii="Calibri" w:eastAsia="Calibri" w:hAnsi="Calibri" w:cs="Arial"/>
          <w:b/>
          <w:bCs/>
          <w:sz w:val="24"/>
          <w:szCs w:val="24"/>
          <w:lang w:val="id-ID"/>
        </w:rPr>
        <w:t>A Review of Misconception in Physics: The Diagnosis, Causes, and Remediation</w:t>
      </w:r>
    </w:p>
    <w:p w14:paraId="36778C7C" w14:textId="77777777" w:rsidR="00AD23CC" w:rsidRPr="00AD23CC" w:rsidRDefault="00AD23CC" w:rsidP="00AD23CC">
      <w:pPr>
        <w:spacing w:after="160" w:line="259" w:lineRule="auto"/>
        <w:rPr>
          <w:rFonts w:ascii="Calibri" w:eastAsia="Calibri" w:hAnsi="Calibri" w:cs="Arial"/>
          <w:sz w:val="22"/>
          <w:szCs w:val="22"/>
          <w:lang w:val="id-ID"/>
        </w:rPr>
      </w:pPr>
    </w:p>
    <w:p w14:paraId="23554E1C" w14:textId="77777777" w:rsidR="00AD23CC" w:rsidRPr="00AD23CC" w:rsidRDefault="00AD23CC" w:rsidP="00AD23CC">
      <w:pPr>
        <w:spacing w:after="160" w:line="259" w:lineRule="auto"/>
        <w:jc w:val="center"/>
        <w:rPr>
          <w:rFonts w:ascii="Calibri" w:eastAsia="Calibri" w:hAnsi="Calibri" w:cs="Arial"/>
          <w:sz w:val="22"/>
          <w:szCs w:val="22"/>
          <w:lang w:val="id-ID"/>
        </w:rPr>
      </w:pPr>
      <w:r w:rsidRPr="00AD23CC">
        <w:rPr>
          <w:rFonts w:ascii="Calibri" w:eastAsia="Calibri" w:hAnsi="Calibri" w:cs="Arial"/>
          <w:sz w:val="22"/>
          <w:szCs w:val="22"/>
          <w:lang w:val="id-ID"/>
        </w:rPr>
        <w:t xml:space="preserve">Gaguk Resbiantoro </w:t>
      </w:r>
      <w:r w:rsidRPr="00AD23CC">
        <w:rPr>
          <w:rFonts w:ascii="Calibri" w:eastAsia="Calibri" w:hAnsi="Calibri" w:cs="Arial"/>
          <w:sz w:val="22"/>
          <w:szCs w:val="22"/>
          <w:vertAlign w:val="superscript"/>
          <w:lang w:val="id-ID"/>
        </w:rPr>
        <w:t>1)</w:t>
      </w:r>
      <w:r w:rsidRPr="00AD23CC">
        <w:rPr>
          <w:rFonts w:ascii="Calibri" w:eastAsia="Calibri" w:hAnsi="Calibri" w:cs="Arial"/>
          <w:sz w:val="22"/>
          <w:szCs w:val="22"/>
          <w:lang w:val="id-ID"/>
        </w:rPr>
        <w:t xml:space="preserve">, Rahyu Setiani </w:t>
      </w:r>
      <w:r w:rsidRPr="00AD23CC">
        <w:rPr>
          <w:rFonts w:ascii="Calibri" w:eastAsia="Calibri" w:hAnsi="Calibri" w:cs="Arial"/>
          <w:sz w:val="22"/>
          <w:szCs w:val="22"/>
          <w:vertAlign w:val="superscript"/>
          <w:lang w:val="id-ID"/>
        </w:rPr>
        <w:t>2)</w:t>
      </w:r>
      <w:r w:rsidRPr="00AD23CC">
        <w:rPr>
          <w:rFonts w:ascii="Calibri" w:eastAsia="Calibri" w:hAnsi="Calibri" w:cs="Arial"/>
          <w:sz w:val="22"/>
          <w:szCs w:val="22"/>
          <w:lang w:val="id-ID"/>
        </w:rPr>
        <w:t xml:space="preserve">, Dwikoranto </w:t>
      </w:r>
      <w:r w:rsidRPr="00AD23CC">
        <w:rPr>
          <w:rFonts w:ascii="Calibri" w:eastAsia="Calibri" w:hAnsi="Calibri" w:cs="Arial"/>
          <w:sz w:val="22"/>
          <w:szCs w:val="22"/>
          <w:vertAlign w:val="superscript"/>
          <w:lang w:val="id-ID"/>
        </w:rPr>
        <w:t>3)</w:t>
      </w:r>
    </w:p>
    <w:p w14:paraId="1AA25294" w14:textId="77777777" w:rsidR="00AD23CC" w:rsidRPr="00AD23CC" w:rsidRDefault="00AD23CC" w:rsidP="00AD23CC">
      <w:pPr>
        <w:spacing w:after="160" w:line="259" w:lineRule="auto"/>
        <w:jc w:val="center"/>
        <w:rPr>
          <w:rFonts w:ascii="Calibri" w:eastAsia="Calibri" w:hAnsi="Calibri" w:cs="Arial"/>
          <w:sz w:val="22"/>
          <w:szCs w:val="22"/>
          <w:lang w:val="id-ID"/>
        </w:rPr>
      </w:pPr>
    </w:p>
    <w:p w14:paraId="6046B967" w14:textId="77777777" w:rsidR="00AD23CC" w:rsidRPr="00AD23CC" w:rsidRDefault="00AD23CC" w:rsidP="00AD23CC">
      <w:pPr>
        <w:spacing w:line="259" w:lineRule="auto"/>
        <w:contextualSpacing/>
        <w:jc w:val="center"/>
        <w:rPr>
          <w:rFonts w:ascii="Calibri" w:eastAsia="Calibri" w:hAnsi="Calibri" w:cs="Arial"/>
          <w:sz w:val="22"/>
          <w:szCs w:val="22"/>
          <w:lang w:val="id-ID"/>
        </w:rPr>
      </w:pPr>
      <w:r w:rsidRPr="00AD23CC">
        <w:rPr>
          <w:rFonts w:ascii="Calibri" w:eastAsia="Calibri" w:hAnsi="Calibri" w:cs="Arial"/>
          <w:sz w:val="22"/>
          <w:szCs w:val="22"/>
          <w:vertAlign w:val="superscript"/>
          <w:lang w:val="id-ID"/>
        </w:rPr>
        <w:t>1)</w:t>
      </w:r>
      <w:r w:rsidRPr="00AD23CC">
        <w:rPr>
          <w:rFonts w:ascii="Calibri" w:eastAsia="Calibri" w:hAnsi="Calibri" w:cs="Arial"/>
          <w:sz w:val="22"/>
          <w:szCs w:val="22"/>
          <w:lang w:val="id-ID"/>
        </w:rPr>
        <w:t xml:space="preserve"> State Islamic Institute of Tulungagung, Indonesia, </w:t>
      </w:r>
      <w:r w:rsidRPr="00AD23CC">
        <w:rPr>
          <w:rFonts w:ascii="Calibri" w:eastAsia="Calibri" w:hAnsi="Calibri" w:cs="Arial"/>
          <w:i/>
          <w:iCs/>
          <w:sz w:val="22"/>
          <w:szCs w:val="22"/>
          <w:lang w:val="id-ID"/>
        </w:rPr>
        <w:t>gaguk.resbiantoro@gmail.com</w:t>
      </w:r>
    </w:p>
    <w:p w14:paraId="144382C1" w14:textId="77777777" w:rsidR="00AD23CC" w:rsidRPr="00AD23CC" w:rsidRDefault="00AD23CC" w:rsidP="00AD23CC">
      <w:pPr>
        <w:spacing w:line="259" w:lineRule="auto"/>
        <w:contextualSpacing/>
        <w:jc w:val="center"/>
        <w:rPr>
          <w:rFonts w:ascii="Calibri" w:eastAsia="Calibri" w:hAnsi="Calibri" w:cs="Arial"/>
          <w:sz w:val="22"/>
          <w:szCs w:val="22"/>
          <w:lang w:val="id-ID"/>
        </w:rPr>
      </w:pPr>
      <w:r w:rsidRPr="00AD23CC">
        <w:rPr>
          <w:rFonts w:ascii="Calibri" w:eastAsia="Calibri" w:hAnsi="Calibri" w:cs="Arial"/>
          <w:sz w:val="22"/>
          <w:szCs w:val="22"/>
          <w:vertAlign w:val="superscript"/>
          <w:lang w:val="id-ID"/>
        </w:rPr>
        <w:t>2)</w:t>
      </w:r>
      <w:r w:rsidRPr="00AD23CC">
        <w:rPr>
          <w:rFonts w:ascii="Calibri" w:eastAsia="Calibri" w:hAnsi="Calibri" w:cs="Arial"/>
          <w:sz w:val="22"/>
          <w:szCs w:val="22"/>
          <w:lang w:val="id-ID"/>
        </w:rPr>
        <w:t xml:space="preserve"> STKIP PGRI Tulungagung, Indonesia, </w:t>
      </w:r>
      <w:r w:rsidRPr="00AD23CC">
        <w:rPr>
          <w:rFonts w:ascii="Calibri" w:eastAsia="Calibri" w:hAnsi="Calibri" w:cs="Arial"/>
          <w:i/>
          <w:iCs/>
          <w:sz w:val="22"/>
          <w:szCs w:val="22"/>
          <w:lang w:val="id-ID"/>
        </w:rPr>
        <w:t>rahyusetiani@gmail.com</w:t>
      </w:r>
    </w:p>
    <w:p w14:paraId="7CFBF3E3" w14:textId="77777777" w:rsidR="00AD23CC" w:rsidRPr="00AD23CC" w:rsidRDefault="00AD23CC" w:rsidP="00AD23CC">
      <w:pPr>
        <w:spacing w:line="259" w:lineRule="auto"/>
        <w:contextualSpacing/>
        <w:jc w:val="center"/>
        <w:rPr>
          <w:rFonts w:ascii="Calibri" w:eastAsia="Calibri" w:hAnsi="Calibri" w:cs="Arial"/>
          <w:i/>
          <w:iCs/>
          <w:sz w:val="22"/>
          <w:szCs w:val="22"/>
          <w:lang w:val="id-ID"/>
        </w:rPr>
      </w:pPr>
      <w:r w:rsidRPr="00AD23CC">
        <w:rPr>
          <w:rFonts w:ascii="Calibri" w:eastAsia="Calibri" w:hAnsi="Calibri" w:cs="Arial"/>
          <w:sz w:val="22"/>
          <w:szCs w:val="22"/>
          <w:vertAlign w:val="superscript"/>
          <w:lang w:val="id-ID"/>
        </w:rPr>
        <w:t>3)</w:t>
      </w:r>
      <w:r w:rsidRPr="00AD23CC">
        <w:rPr>
          <w:rFonts w:ascii="Calibri" w:eastAsia="Calibri" w:hAnsi="Calibri" w:cs="Arial"/>
          <w:sz w:val="22"/>
          <w:szCs w:val="22"/>
          <w:lang w:val="id-ID"/>
        </w:rPr>
        <w:t xml:space="preserve"> State University of Surabaya, Indonesia, </w:t>
      </w:r>
      <w:r w:rsidRPr="00AD23CC">
        <w:rPr>
          <w:rFonts w:ascii="Calibri" w:eastAsia="Calibri" w:hAnsi="Calibri" w:cs="Arial"/>
          <w:i/>
          <w:iCs/>
          <w:sz w:val="22"/>
          <w:szCs w:val="22"/>
          <w:lang w:val="id-ID"/>
        </w:rPr>
        <w:t>dwikoranto.unesa@gmail.com</w:t>
      </w:r>
    </w:p>
    <w:p w14:paraId="68C83A22" w14:textId="77777777" w:rsidR="00AD23CC" w:rsidRPr="00AD23CC" w:rsidRDefault="00AD23CC" w:rsidP="00AD23CC">
      <w:pPr>
        <w:spacing w:after="160" w:line="259" w:lineRule="auto"/>
        <w:rPr>
          <w:rFonts w:ascii="Calibri" w:eastAsia="Calibri" w:hAnsi="Calibri" w:cs="Arial"/>
          <w:sz w:val="22"/>
          <w:szCs w:val="22"/>
          <w:lang w:val="id-ID"/>
        </w:rPr>
      </w:pPr>
    </w:p>
    <w:p w14:paraId="646B0F21"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Abstract</w:t>
      </w:r>
    </w:p>
    <w:p w14:paraId="7A304A96"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The difference between students' ideas and scientific conceptions, called misconceptions, is a barrier to delivering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 xml:space="preserve">-century learning goals. For achieving that, physics learning needs to be designed by teachers to eradicate misconceptions chief. The incorrect conception will cause failure in the process of critical thinking and problem-solving. This paper provides a review of 70 journal articles on diagnosis methods, causes, and ways of remediating misconceptions. The synthesis was carried out on international studies that have been published for the last fifteen years (2005-2019). The results obtained various diagnostic tools for physics misconceptions: interviews, open-ended tests, multiple-choice tests, and multiple-tier tests. The diagnosis results of misconception are the base for engaging remediation strategies. The remediation is carried out using the conceptual change approach through Simulation-Based Experiments, Conceptual Change Texts, and Inquiry-Based Learning methods. This review will be a reference for future studies and achieve the effectiveness of </w:t>
      </w:r>
      <w:r w:rsidRPr="00AD23CC">
        <w:rPr>
          <w:rFonts w:ascii="Calibri" w:eastAsia="Calibri" w:hAnsi="Calibri" w:cs="Arial"/>
          <w:sz w:val="22"/>
          <w:szCs w:val="22"/>
          <w:lang w:val="id-ID"/>
        </w:rPr>
        <w:lastRenderedPageBreak/>
        <w:t>physics learning. The development of diagnostic tools and remediation methods remains a more challenging topic for future research.</w:t>
      </w:r>
    </w:p>
    <w:p w14:paraId="29AA6863" w14:textId="77777777" w:rsidR="00AD23CC" w:rsidRPr="00AD23CC" w:rsidRDefault="00AD23CC" w:rsidP="00AD23CC">
      <w:pPr>
        <w:spacing w:after="160" w:line="259" w:lineRule="auto"/>
        <w:rPr>
          <w:rFonts w:ascii="Calibri" w:eastAsia="Calibri" w:hAnsi="Calibri" w:cs="Arial"/>
          <w:sz w:val="22"/>
          <w:szCs w:val="22"/>
          <w:lang w:val="id-ID"/>
        </w:rPr>
      </w:pPr>
    </w:p>
    <w:p w14:paraId="0973563D"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b/>
          <w:bCs/>
          <w:sz w:val="22"/>
          <w:szCs w:val="22"/>
          <w:lang w:val="id-ID"/>
        </w:rPr>
        <w:t xml:space="preserve">Keywords: </w:t>
      </w:r>
      <w:r w:rsidRPr="00AD23CC">
        <w:rPr>
          <w:rFonts w:ascii="Calibri" w:eastAsia="Calibri" w:hAnsi="Calibri" w:cs="Arial"/>
          <w:sz w:val="22"/>
          <w:szCs w:val="22"/>
          <w:lang w:val="id-ID"/>
        </w:rPr>
        <w:t>misconceptions, alternative conceptions, conceptual change</w:t>
      </w:r>
    </w:p>
    <w:p w14:paraId="28C02573" w14:textId="05CB92F2" w:rsidR="00AD23CC" w:rsidRPr="00AD23CC" w:rsidRDefault="00AD23CC" w:rsidP="00AD23CC">
      <w:pPr>
        <w:spacing w:after="160" w:line="259" w:lineRule="auto"/>
        <w:rPr>
          <w:rFonts w:ascii="Calibri" w:eastAsia="Calibri" w:hAnsi="Calibri" w:cs="Arial"/>
          <w:sz w:val="22"/>
          <w:szCs w:val="22"/>
          <w:lang w:val="id-ID"/>
        </w:rPr>
      </w:pPr>
    </w:p>
    <w:p w14:paraId="6E696499"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Introduction</w:t>
      </w:r>
    </w:p>
    <w:p w14:paraId="5C4527C8"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constructivist approach in learning emphasizes student activities to construct a conceptual understanding Students construct their knowledge by matching new facts or new concepts obtained in class with mental models based on their life experiences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{"citationItems":[{"id":"ITEM-1","itemData":{"ISBN":"978- 0- 33- 526267- 0","author":[{"dropping-particle":"","family":"Allen","given":"Michael","non-dropping-particle":"","parse-names":false,"suffix":""}],"id":"ITEM-1","issued":{"date-parts":[["2014"]]},"publisher":"Open University Press","publisher-place":"New York","title":"Misconceptions in Primary Science 2nd Edition","type":"book"},"uris":["http://www.mendeley.com/documents/?uuid=e2706289-0da6-4d57-a871-6f72f4efb1e0"]},{"id":"ITEM-2","itemData":{"author":[{"dropping-particle":"","family":"Konicek-Moran","given":"Richard","non-dropping-particle":"","parse-names":false,"suffix":""},{"dropping-particle":"","family":"Keeley","given":"Page","non-dropping-particle":"","parse-names":false,"suffix":""}],"id":"ITEM-2","issued":{"date-parts":[["2015"]]},"publisher":"National Science Teachers Association Press","publisher-place":"Arlington","title":"Teaching for Conceptual Understanding in Science","type":"book"},"uris":["http://www.mendeley.com/documents/?uuid=b095f6dd-d881-4f4d-90f9-d2d7c9432739"]},{"id":"ITEM-3","itemData":{"DOI":"10.1007/s11191-016-9829-3","author":[{"dropping-particle":"","family":"Gomez","given":"Pedro J. Sanchez","non-dropping-particle":"","parse-names":false,"suffix":""}],"container-title":"Science &amp; Education","id":"ITEM-3","issued":{"date-parts":[["2016"]]},"page":"629–650","title":"Students’ Ideas and Radical Constructivism ´","type":"article-journal","volume":"25"},"uris":["http://www.mendeley.com/documents/?uuid=95875bb6-7bc1-4596-abe7-4ca8d7afce80"]}],"mendeley":{"formattedCitation":"(Allen, 2014; Gomez, 2016; Konicek-Moran &amp; Keeley, 2015)","plainTextFormattedCitation":"(Allen, 2014; Gomez, 2016; Konicek-Moran &amp; Keeley, 2015)","previouslyFormattedCitation":"(Allen, 2014; Gomez, 2016; Konicek-Moran &amp; Keeley, 2015; Skamp,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(Allen, 2014; Gomez, 2016; Konicek-Moran &amp; Keeley,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synchronizing of new facts or concepts with students' mental models becomes a constructive learning challenge. The learning process must consider the internal cognitive structure and external reality to be consistent according to Piaget's Theory with the support of social factors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Toh","given":"Kok-aun","non-dropping-particle":"","parse-names":false,"suffix":""},{"dropping-particle":"","family":"Ho","given":"Boon-tiong","non-dropping-particle":"","parse-names":false,"suffix":""},{"dropping-particle":"","family":"Chew","given":"Charles M K","non-dropping-particle":"","parse-names":false,"suffix":""}],"container-title":"Educational Research for Policy and Practice","id":"ITEM-1","issued":{"date-parts":[["2003"]]},"page":"195-204","title":"Teaching, Teacher Knowledge and Constructivism","type":"article-journal","volume":"2"},"uris":["http://www.mendeley.com/documents/?uuid=97171c17-c5be-4369-8053-980f93c0abe8"]},{"id":"ITEM-2","itemData":{"author":[{"dropping-particle":"","family":"Jenkins","given":"E W","non-dropping-particle":"","parse-names":false,"suffix":""}],"container-title":"Science &amp; Education","id":"ITEM-2","issued":{"date-parts":[["2000"]]},"page":"599-610","title":"Constructivism in School Science Education: Powerful Model or the Most Dangerous Intellectual Tendency?","type":"article-journal","volume":"9"},"uris":["http://www.mendeley.com/documents/?uuid=c0c4ce9c-0b8c-4a58-be42-d90b5733ebea"]},{"id":"ITEM-3","itemData":{"author":[{"dropping-particle":"","family":"Weil-Barais","given":"Annick","non-dropping-particle":"","parse-names":false,"suffix":""}],"container-title":"Prospects","id":"ITEM-3","issue":"2","issued":{"date-parts":[["2001"]]},"page":"187-196","title":"Constructivism and Education: Constructivist Approaches and the Teaching of Science","type":"article-journal","volume":"XXXI"},"uris":["http://www.mendeley.com/documents/?uuid=e45a658c-5727-49de-8f49-1be22fa2ee96"]},{"id":"ITEM-4","itemData":{"DOI":"10.3102/00346543072002131","author":[{"dropping-particle":"","family":"Windschitl","given":"Mark","non-dropping-particle":"","parse-names":false,"suffix":""}],"container-title":"Review of Educational Research","id":"ITEM-4","issue":"2","issued":{"date-parts":[["2002"]]},"page":"131-175","title":"Framing Constructivism in Practice as the Negotiation of Dilemmas: An Analysis of the Conceptual, Pedagogical, Cultural, and Political Challenges Facing Teachers","type":"article-journal","volume":"72"},"uris":["http://www.mendeley.com/documents/?uuid=3bc80669-1d06-4d20-a218-66c97a7dd789"]}],"mendeley":{"formattedCitation":"(Jenkins, 2000; Toh, Ho, &amp; Chew, 2003; Weil-Barais, 2001; Windschitl, 2002)","manualFormatting":"(Jenkins, 2000; Toh et al., 2003; Weil-Barais, 2001; Windschitl, 2002)","plainTextFormattedCitation":"(Jenkins, 2000; Toh, Ho, &amp; Chew, 2003; Weil-Barais, 2001; Windschitl, 2002)","previouslyFormattedCitation":"(Jenkins, 2000; Toh, Ho, &amp; Chew, 2003; Weil-Barais, 2001; Windschitl,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(Jenkins, 2000; Toh et al., 2003; Weil-Barais, 2001; Windschitl,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to form a correct conceptual understanding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{"citationItems":[{"id":"ITEM-1","itemData":{"ISBN":"9780078024320","author":[{"dropping-particle":"","family":"Arends","given":"Richard I","non-dropping-particle":"","parse-names":false,"suffix":""}],"edition":"9th","id":"ITEM-1","issued":{"date-parts":[["2012"]]},"publisher":"McGraw-Hill","publisher-place":"New York","title":"Learning to Teach","type":"book"},"uris":["http://www.mendeley.com/documents/?uuid=c7aea533-9395-4227-97fb-0a6cf8941162"]},{"id":"ITEM-2","itemData":{"author":[{"dropping-particle":"","family":"Seatter","given":"Carol Scarff","non-dropping-particle":"","parse-names":false,"suffix":""}],"container-title":"Interchange","id":"ITEM-2","issue":"1","issued":{"date-parts":[["2003"]]},"page":"63-87","title":"Constructivist Science Teaching: Intellectual and Strategic Teaching Acts","type":"article-journal","volume":"34"},"uris":["http://www.mendeley.com/documents/?uuid=a5be579c-e6e1-4356-8646-9355002cae38"]}],"mendeley":{"formattedCitation":"(Arends, 2012; Seatter, 2003)","plainTextFormattedCitation":"(Arends, 2012; Seatter, 2003)","previouslyFormattedCitation":"(Arends, 2012; Seatter, 2003)"},"properties":{"noteIndex":0},"schema":"https://github.com/citation-style-language/schema/raw/master/csl-citation.json"}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(Arends, 2012; Seatter, 2003)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difference of existing concepts from scientific concepts (incorrect belief) becomes barriers in learning, called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{"citationItems":[{"id":"ITEM-1","itemData":{"ISBN":"978- 0- 33- 526267- 0","author":[{"dropping-particle":"","family":"Allen","given":"Michael","non-dropping-particle":"","parse-names":false,"suffix":""}],"id":"ITEM-1","issued":{"date-parts":[["2014"]]},"publisher":"Open University Press","publisher-place":"New York","title":"Misconceptions in Primary Science 2nd Edition","type":"book"},"uris":["http://www.mendeley.com/documents/?uuid=e2706289-0da6-4d57-a871-6f72f4efb1e0"]},{"id":"ITEM-2","itemData":{"DOI":"10.1007/978-3-030-30188-0","ISBN":"9783030301873","author":[{"dropping-particle":"","family":"Neidorf","given":"Teresa","non-dropping-particle":"","parse-names":false,"suffix":""},{"dropping-particle":"","family":"Arora","given":"Alka","non-dropping-particle":"","parse-names":false,"suffix":""},{"dropping-particle":"","family":"Erberber","given":"Ebru","non-dropping-particle":"","parse-names":false,"suffix":""},{"dropping-particle":"","family":"Tsokodayi","given":"Yemurai","non-dropping-particle":"","parse-names":false,"suffix":""}],"id":"ITEM-2","issued":{"date-parts":[["2020"]]},"publisher":"Springer Nature Switzerland AG","publisher-place":"Gewerbestrasse","title":"Student Misconceptions and Errors in Physics and Mathematics: Exploring Data from TIMSS and TIMSS","type":"book"},"uris":["http://www.mendeley.com/documents/?uuid=6c413ede-6f1e-4d26-9037-2b875cec1e5c"]},{"id":"ITEM-3","itemData":{"DOI":"10.1080/0950069890110507","ISSN":"14645289","abstract":"This study begins the task of mapping out the domain of valid, potentially helpful beliefs of students and raises the possibility of drawing on these intuitions in teaching conceptual material. Some issues are explored surrounding the identification of such intuitions, referred to as anchoring conceptions or anchors. We attempt to: (1) propose some organizing theoretical and observational definitions of the anchor construct; (2) present some initial findings from a diagnostic test designed to uncover anchors for physics instruction; and (3) provoke an initial discussion of the new methodological issues that arise in this domain. The results of the diagnostic test indicate that a number of group anchors exist. In addition, some unexpected non‐anchors were identified. Furthermore, evidence was found indicating that some anchoring examples may be ‘brittle’, i.e., evidence that the anchor could not be extended analogically to help a student make sense of a target situation. Finally, it is suggested that further research is needed to construct a theory of anchoring conceptions that would, for example, specify what characteristics would indicate that an anchoring conception can provide the basis for conceptual change via analogical extension. © 1989 Taylor &amp; Francis Group, LLC.","author":[{"dropping-particle":"","family":"Clement","given":"John","non-dropping-particle":"","parse-names":false,"suffix":""},{"dropping-particle":"","family":"Brown","given":"David E.","non-dropping-particle":"","parse-names":false,"suffix":""},{"dropping-particle":"","family":"Zietsman","given":"Aletta","non-dropping-particle":"","parse-names":false,"suffix":""}],"container-title":"International Journal of Science Education","id":"ITEM-3","issue":"5","issued":{"date-parts":[["1989"]]},"page":"554-565","title":"Not all preconceptions are misconceptions: Finding ‘anchoring conceptions’ for grounding instruction on students’ intuitions","type":"article-journal","volume":"11"},"uris":["http://www.mendeley.com/documents/?uuid=72b30710-3876-42c3-ac5f-c61a77823e4f"]},{"id":"ITEM-4","itemData":{"DOI":"10.1080/03057267808559857","ISBN":"0305726780855","ISSN":"19408412","author":[{"dropping-particle":"","family":"Driver","given":"Rosalind","non-dropping-particle":"","parse-names":false,"suffix":""},{"dropping-particle":"","family":"Easley","given":"Jack","non-dropping-particle":"","parse-names":false,"suffix":""}],"container-title":"Studies in Science Education","id":"ITEM-4","issue":"1","issued":{"date-parts":[["1978"]]},"page":"61-84","title":"Pupils and paradigms: A review of literature related to concept development in adolescent science students","type":"article-journal","volume":"5"},"uris":["http://www.mendeley.com/documents/?uuid=02fc27be-d1c1-4ceb-a1b3-be589272273b"]},{"id":"ITEM-5","itemData":{"DOI":"10.1088/0031-9120/15/2/308","ISSN":"00319120","author":[{"dropping-particle":"","family":"Helm","given":"H.","non-dropping-particle":"","parse-names":false,"suffix":""}],"container-title":"Physics Education","id":"ITEM-5","issue":"2","issued":{"date-parts":[["1980"]]},"page":"92-105","title":"Misconceptions in physics amongst South African students","type":"article-journal","volume":"15"},"uris":["http://www.mendeley.com/documents/?uuid=a986e971-a77a-4343-b797-ab8b030e5598"]}],"mendeley":{"formattedCitation":"(Allen, 2014; Clement, Brown, &amp; Zietsman, 1989; Driver &amp; Easley, 1978; Helm, 1980; Neidorf, Arora, Erberber, &amp; Tsokodayi, 2020)","manualFormatting":"(Allen, 2014; Clement et al., 1989; Driver &amp; Easley, 1978; Helm, 1980; Neidorf et al., 2020)","plainTextFormattedCitation":"(Allen, 2014; Clement, Brown, &amp; Zietsman, 1989; Driver &amp; Easley, 1978; Helm, 1980; Neidorf, Arora, Erberber, &amp; Tsokodayi, 2020)","previouslyFormattedCitation":"(Allen, 2014; Clement, Brown, &amp; Zietsman, 1989; Driver &amp; Easley, 1978; Helm, 1980; Neidorf, Arora, Erberber, &amp; Tsokodayi, 2020)"},"properties":{"noteIndex":0},"schema":"https://github.com/citation-style-language/schema/raw/master/csl-citation.json"}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(Allen, 2014; Clement et al., 1989; Driver &amp; Easley, 1978; Helm, 1980; Neidorf et al., 2020)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Misconceptions are also defined with different terms such as "alternative 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{"citationItems":[{"id":"ITEM-1","itemData":{"abstract":"This paper examines the nature of physics students' knowledge, the means to identify alternative conceptions, and possible methods to overcome misconceptions. This examination is a survey of the techniques and ideas of a large number of researchers who are seeking their own solutions to this problem. An examination of the nature of knowledge within the classroom and the shortfalls of educational models that provide some background for a discussion of effective teaching methodology are included. This report continues by examining the source of students' alternative conceptions both within and outside of the classroom, and the methods for identifying these alternative conceptions. Three potential techniques for overcoming alternative conceptions and establishing a richer understanding of physics knowledge within the classroom are outlined. (Contains 24 references and 4 appendices.) (DDR)","author":[{"dropping-particle":"","family":"Klammer","given":"Joel","non-dropping-particle":"","parse-names":false,"suffix":""}],"container-title":"Klingenstein Project Report, Teachers College-Columbia University.","id":"ITEM-1","issued":{"date-parts":[["1998"]]},"title":"An Overview of Techniques for Identifying , Acknowledging and Overcoming Alternate Conceptions in Physics Education","type":"article-journal"},"uris":["http://www.mendeley.com/documents/?uuid=de8a4d33-bb7b-4a0f-b616-9fffa82eb30b"]}],"mendeley":{"formattedCitation":"(Klammer, 1998)","plainTextFormattedCitation":"(Klammer, 1998)","previouslyFormattedCitation":"(Klammer, 1998)"},"properties":{"noteIndex":0},"schema":"https://github.com/citation-style-language/schema/raw/master/csl-citation.json"}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(Klammer, 1998)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“naive beliefs”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McCloskey","given":"MICHAEL","non-dropping-particle":"","parse-names":false,"suffix":""},{"dropping-particle":"","family":"Caramazza","given":"ALFONSO","non-dropping-particle":"","parse-names":false,"suffix":""},{"dropping-particle":"","family":"Green","given":"BERT","non-dropping-particle":"","parse-names":false,"suffix":""}],"container-title":"Science","id":"ITEM-1","issue":"4474","issued":{"date-parts":[["1980"]]},"page":"1139- 1141","title":"Curvilinear Motion in the Absence of External Forces: Naive Beliefs About the Motion of Objects","type":"article-journal","volume":"210"},"uris":["http://www.mendeley.com/documents/?uuid=7c6e27b7-ba31-41d3-a7dc-4874c222598c"]}],"mendeley":{"formattedCitation":"(McCloskey, Caramazza, &amp; Green, 1980)","manualFormatting":"(McCloskey et al., 1980)","plainTextFormattedCitation":"(McCloskey, Caramazza, &amp; Green, 1980)","previouslyFormattedCitation":"(McCloskey, Caramazza, &amp; Green, 1980)"},"properties":{"noteIndex":0},"schema":"https://github.com/citation-style-language/schema/raw/master/csl-citation.json"}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(McCloskey et al., 1980)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and “mental models”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{"citationItems":[{"id":"ITEM-1","itemData":{"DOI":"10.1002/sce.10013","ISSN":"00368326","abstract":"In this paper, we initially discuss the relationships among physical, mathematical, and mental models in the process of constructing and understanding physical theories. We adopt the assumption that comprehension in a particular field of physics is attained when it is possible to predict a physical phenomenon from its physical models without having to previously refer to the mathematical formalism. The physical models constitute the semantic structure of a physical theory and determine the way the classes of phenomena linked to them should be \"perceived.\" Within this framework, the first step in order to understand a phenomenon or a process in physics is to construct mental models that will allow the individual to understand the statements that compose the semantic structure of the theory, being necessary, at the same time, to modify the way of perceiving the phenomena by constructing mental models that will permit him to evaluate as true or false the descriptions the theory makes of them. When this double process is attained concerning a particular phenomenon, in such a way that the \"results\" of the constructed mental models (predictions and explanations) match those scientifically accepted, one can say that the individual has constructed an adequate mental model of the physical model of the theory. Then, in the light of this discussion, we attempt to interpret the research findings we have obtained so far with college students, regarding mental models and physics education under the framework of Johnson-Laird's mental model theory. The difficulties faced by the students to achieve the understanding of physical theories did not seem to be all of the same level: some are linked to the constraints imposed to the construction of mental models by students' previous knowledge and others, linked to the ways individuals perceive the world, seem to be much more problematic. We argue that teaching should focus on them, at least at introductory level, considering the explicit teaching of the modelling process - or at least its systematic practice - as a tool that might be appropriate to facilitate this process. © 2001 John Wiley &amp; Sons, Inc.","author":[{"dropping-particle":"","family":"Greca","given":"Ileana Marí","non-dropping-particle":"","parse-names":false,"suffix":""},{"dropping-particle":"","family":"Moreira","given":"Marco Antonio","non-dropping-particle":"","parse-names":false,"suffix":""}],"container-title":"Science Education","id":"ITEM-1","issue":"1","issued":{"date-parts":[["2002"]]},"page":"106-121","title":"Mental, Physical, and Mathematical Models in the Teaching and Learning of Physics","type":"article-journal","volume":"86"},"uris":["http://www.mendeley.com/documents/?uuid=0c9b29ea-77d0-4f2b-8434-7ed1b68f00b2"]}],"mendeley":{"formattedCitation":"(Greca &amp; Moreira, 2002)","plainTextFormattedCitation":"(Greca &amp; Moreira, 2002)","previouslyFormattedCitation":"(Greca &amp; Moreira,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(Greca &amp; Moreira,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64141A91" w14:textId="77777777" w:rsidR="00AD23CC" w:rsidRPr="00AD23CC" w:rsidRDefault="00AD23CC" w:rsidP="00AD23CC">
      <w:pPr>
        <w:spacing w:after="160" w:line="259" w:lineRule="auto"/>
        <w:rPr>
          <w:rFonts w:ascii="Calibri" w:eastAsia="Calibri" w:hAnsi="Calibri" w:cs="Arial"/>
          <w:sz w:val="22"/>
          <w:szCs w:val="22"/>
          <w:lang w:val="id-ID"/>
        </w:rPr>
      </w:pPr>
    </w:p>
    <w:p w14:paraId="724C10A1"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Students' experiences about physical phenomena in life can raise wrong preconceived ideas of physical concepts or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978-3-030-30188-0","ISBN":"9783030301873","author":[{"dropping-particle":"","family":"Neidorf","given":"Teresa","non-dropping-particle":"","parse-names":false,"suffix":""},{"dropping-particle":"","family":"Arora","given":"Alka","non-dropping-particle":"","parse-names":false,"suffix":""},{"dropping-particle":"","family":"Erberber","given":"Ebru","non-dropping-particle":"","parse-names":false,"suffix":""},{"dropping-particle":"","family":"Tsokodayi","given":"Yemurai","non-dropping-particle":"","parse-names":false,"suffix":""}],"id":"ITEM-1","issued":{"date-parts":[["2020"]]},"publisher":"Springer Nature Switzerland AG","publisher-place":"Gewerbestrasse","title":"Student Misconceptions and Errors in Physics and Mathematics: Exploring Data from TIMSS and TIMSS","type":"book"},"uris":["http://www.mendeley.com/documents/?uuid=6c413ede-6f1e-4d26-9037-2b875cec1e5c"]}],"mendeley":{"formattedCitation":"(Neidorf et al., 2020)","plainTextFormattedCitation":"(Neidorf et al., 2020)","previouslyFormattedCitation":"(Neidorf et al., 2020)"},"properties":{"noteIndex":0},"schema":"https://github.com/citation-style-language/schema/raw/master/csl-citation.json"}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(Neidorf et al., 2020)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knowledge construction determined from students' personal experiences tends not inlining with scientific knowledge, that also called as alternative frameworks, intuitive beliefs, preconceptions, spontaneous critical thinking, children's science, and naïve beliefs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{"citationItems":[{"id":"ITEM-1","itemData":{"ISBN":"9789811034350","author":[{"dropping-particle":"","family":"Karpudewan","given":"Mageswary","non-dropping-particle":"","parse-names":false,"suffix":""},{"dropping-particle":"","family":"Zain","given":"Ahmad Nurulazam Md.","non-dropping-particle":"","parse-names":false,"suffix":""},{"dropping-particle":"","family":"Chandrasegaran","given":"A.L.","non-dropping-particle":"","parse-names":false,"suffix":""}],"chapter-number":"I","container-title":"Overcoming Students' Misconceptions in Science","editor":[{"dropping-particle":"","family":"Karpudewan","given":"Mageswary","non-dropping-particle":"","parse-names":false,"suffix":""},{"dropping-particle":"","family":"Zain","given":"Ahmad Nurulazam Md.","non-dropping-particle":"","parse-names":false,"suffix":""},{"dropping-particle":"","family":"Chandrasegaran","given":"A.L.","non-dropping-particle":"","parse-names":false,"suffix":""}],"id":"ITEM-1","issued":{"date-parts":[["2017"]]},"page":"1-8","publisher":"Springer Nature","publisher-place":"Singapore","title":"Introduction: Misconceptions in Science Education: An Overview","type":"chapter"},"uris":["http://www.mendeley.com/documents/?uuid=0d5a2c57-8959-47bf-976b-4336021e4712"]}],"mendeley":{"formattedCitation":"(Karpudewan, Zain, &amp; Chandrasegaran, 2017)","manualFormatting":"(Karpudewan et al., 2017)","plainTextFormattedCitation":"(Karpudewan, Zain, &amp; Chandrasegaran, 2017)","previouslyFormattedCitation":"(Karpudewan, Zain, &amp; Chandrasegaran,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(Karpudewan et al.,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National Research Council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{"citationItems":[{"id":"ITEM-1","itemData":{"DOI":"https://doi.org/10.17226/5287","author":[{"dropping-particle":"","family":"National Research Council","given":"","non-dropping-particle":"","parse-names":false,"suffix":""}],"id":"ITEM-1","issued":{"date-parts":[["1997"]]},"publisher":"The National Academies Press","publisher-place":"Washington, DC","title":"Science Teaching Reconsidered: A Handbook","type":"book"},"uris":["http://www.mendeley.com/documents/?uuid=9784a9f8-800c-458c-bc66-09e78fa7abc3"]}],"mendeley":{"formattedCitation":"(National Research Council, 1997)","manualFormatting":"(1997)","plainTextFormattedCitation":"(National Research Council, 1997)","previouslyFormattedCitation":"(National Research Council, 1997)"},"properties":{"noteIndex":0},"schema":"https://github.com/citation-style-language/schema/raw/master/csl-citation.json"}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(1997)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classify misconceptions as preconceived notions, nonscientific beliefs, conceptual misunderstandings, vernacular misconceptions, and factual misconceptions. Misconceptions occur when students deliberate physical phenomena using their minds and confidence of being able to explain them with the right knowledge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{"citationItems":[{"id":"ITEM-1","itemData":{"ISBN":"978- 0- 33- 526267- 0","author":[{"dropping-particle":"","family":"Allen","given":"Michael","non-dropping-particle":"","parse-names":false,"suffix":""}],"id":"ITEM-1","issued":{"date-parts":[["2014"]]},"publisher":"Open University Press","publisher-place":"New York","title":"Misconceptions in Primary Science 2nd Edition","type":"book"},"uris":["http://www.mendeley.com/documents/?uuid=e2706289-0da6-4d57-a871-6f72f4efb1e0"]},{"id":"ITEM-2","itemData":{"ISBN":"031330226X","author":[{"dropping-particle":"","family":"Krebs","given":"Robert E.","non-dropping-particle":"","parse-names":false,"suffix":""}],"id":"ITEM-2","issued":{"date-parts":[["1999"]]},"publisher":"Greenwood Press","publisher-place":"Westport, CT","title":"Scientific development and misconceptions through the ages: a reference guide","type":"book"},"uris":["http://www.mendeley.com/documents/?uuid=b27e1fc3-3f6a-47f9-9e44-5b25c27157ab"]}],"mendeley":{"formattedCitation":"(Allen, 2014; Krebs, 1999)","plainTextFormattedCitation":"(Allen, 2014; Krebs, 1999)","previouslyFormattedCitation":"(Allen, 2014; Krebs, 1999)"},"properties":{"noteIndex":0},"schema":"https://github.com/citation-style-language/schema/raw/master/csl-citation.json"}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(Allen, 2014; Krebs, 1999)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If their knowledge is interconnected with new facts that make sense according to students, then misconceptions will strengthen and complicated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{"citationItems":[{"id":"ITEM-1","itemData":{"ISBN":"978- 0- 33- 526267- 0","author":[{"dropping-particle":"","family":"Allen","given":"Michael","non-dropping-particle":"","parse-names":false,"suffix":""}],"id":"ITEM-1","issued":{"date-parts":[["2014"]]},"publisher":"Open University Press","publisher-place":"New York","title":"Misconceptions in Primary Science 2nd Edition","type":"book"},"uris":["http://www.mendeley.com/documents/?uuid=e2706289-0da6-4d57-a871-6f72f4efb1e0"]}],"mendeley":{"formattedCitation":"(Allen, 2014)","plainTextFormattedCitation":"(Allen, 2014)","previouslyFormattedCitation":"(Allen,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(Allen,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That is, the identification of students' initial knowledge needs to be done before introducing new facts or concepts in learning. It is intended that learning does not complicate misconceptions but can eradicate misconceptions.</w:t>
      </w:r>
    </w:p>
    <w:p w14:paraId="6B26D62A" w14:textId="77777777" w:rsidR="00AD23CC" w:rsidRPr="00AD23CC" w:rsidRDefault="00AD23CC" w:rsidP="00AD23CC">
      <w:pPr>
        <w:spacing w:after="160" w:line="259" w:lineRule="auto"/>
        <w:rPr>
          <w:rFonts w:ascii="Calibri" w:eastAsia="Calibri" w:hAnsi="Calibri" w:cs="Arial"/>
          <w:sz w:val="22"/>
          <w:szCs w:val="22"/>
          <w:lang w:val="id-ID"/>
        </w:rPr>
      </w:pPr>
    </w:p>
    <w:p w14:paraId="4BF2F5D4"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Misconceptions brought by students in the learning process will cause cognitive conflict when allowing new empirical concepts or facts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{"citationItems":[{"id":"ITEM-1","itemData":{"DOI":"10.21275/ART20172970","ISSN":"2319-7064","abstract":"This study aims to determine the effect of cognitive conflict strategy on the chemical conceptual changes of students on the acid-base material. The sample used is 51 students. We developed a two-tier diagnostic test instrument to test students' level of understanding. The data obtained were analyzed quantitatively and qualitatively. The results of the analysis provide a description of the misunderstanding profile of students, where before treatment there was a misunderstanding of the concept, but after being given treatment with cognitive conflict strategy, the level of misunderstanding of students decreased. Different tests on the pre and post test scores indicate that there has been a conceptual change. Based on the results, it is concluded that cognitive conflict strategies have an effect on the students' conceptual changes.","author":[{"dropping-particle":"","family":"Labobar","given":"Herlina","non-dropping-particle":"","parse-names":false,"suffix":""},{"dropping-particle":"","family":"Setyosari","given":"Punaji","non-dropping-particle":"","parse-names":false,"suffix":""},{"dropping-particle":"","family":"Degeng","given":"I Nyoman S","non-dropping-particle":"","parse-names":false,"suffix":""},{"dropping-particle":"","family":"Dsna","given":"Wayan","non-dropping-particle":"","parse-names":false,"suffix":""}],"container-title":"International Journal of Science and Research (IJSR)","id":"ITEM-1","issue":"4","issued":{"date-parts":[["2017"]]},"page":"2350-2352","title":"The Effect of Cognitive Conflict Strategy to Chemical Conceptual Change","type":"article-journal","volume":"6"},"uris":["http://www.mendeley.com/documents/?uuid=e52e321c-9cd5-4f25-8c68-7efb7c093987"]},{"id":"ITEM-2","itemData":{"DOI":"10.1037/edu0000050","ISSN":"19392176","abstract":"The cognitive conflict hypothesis asserts that information that directly contradicts a prior conception is 1 of the prerequisites for conceptual change and other forms of nonmonotonic learning. There have been numerous attempts to support this hypothesis by adding a conflict intervention to learning scenarios with weak outcomes. Outcomes have been inconsistent and various methodological difficulties have prevented a decisive test. We present 3 experiments that demonstrate nonmonotonic category change in the absence of any contradictory or falsifying information in a category learning paradigm called recategorization. The results show that direct falsification is not necessary for nonmonotonic learning in this paradigm, and it might in fact slow the learning process. If the results scale up to more complex learning scenarios, theories of conceptual change need to include cognitive processes that predict change even in the absence of conflict or contradiction. The resubsumption theory is summarized as 1 example of such a theory.","author":[{"dropping-particle":"","family":"Ramsburg","given":"Jared T.","non-dropping-particle":"","parse-names":false,"suffix":""},{"dropping-particle":"","family":"Ohlsson","given":"Stellan","non-dropping-particle":"","parse-names":false,"suffix":""}],"container-title":"Journal of Educational Psychology","id":"ITEM-2","issue":"1","issued":{"date-parts":[["2016"]]},"page":"98-113","title":"Category change in the absence of cognitive conflict","type":"article-journal","volume":"108"},"uris":["http://www.mendeley.com/documents/?uuid=3caf74b7-8939-436e-b360-452d17de724f"]},{"id":"ITEM-3","itemData":{"ISSN":"13063065","abstract":"In this study, we investigated the relationships among cognitive conflict and situational interest induced by a discrepant event, attention and effort allocated to learning, and conceptual change in learning the concept of density. Subjects were 183 seventh graders from six middle schools in Seoul, Korea. A preconception test, a test of responses to a dis-crepant event, and a questionnaire of situational interest were administered as pretests. Computer-assisted instruction was then provided to the students as a conceptual change in-tervention. Questionnaires regarding attention and effort, and a conception test were admin-istered as posttests. The conception test was administered once more as a retention test four weeks later. The results of path analysis indicated that both cognitive conflict and situational interest induced by a discrepant event respectively had an indirect effect on students' conceptual understanding, which were mediated by attention and effort allocated to concept learning. Situational interest, however, was found to exert a stronger influence on conceptual change than cognitive conflict. It was also found that attention, either directly or indirectly through effort, influenced students' conceptual understanding. © 2010 IJESE.","author":[{"dropping-particle":"","family":"Kang","given":"Hunsik","non-dropping-particle":"","parse-names":false,"suffix":""},{"dropping-particle":"","family":"Scharmann","given":"Lawrence C.","non-dropping-particle":"","parse-names":false,"suffix":""},{"dropping-particle":"","family":"Kang","given":"Sukjin","non-dropping-particle":"","parse-names":false,"suffix":""},{"dropping-particle":"","family":"Noh","given":"Taehee","non-dropping-particle":"","parse-names":false,"suffix":""}],"container-title":"International Journal of Environmental and Science Education","id":"ITEM-3","issue":"4","issued":{"date-parts":[["2010"]]},"page":"383-405","title":"Cognitive conflict and situational interest as factors influencing conceptual change","type":"article-journal","volume":"5"},"uris":["http://www.mendeley.com/documents/?uuid=952b6ebf-89e6-4e0b-b88d-321ea0854919"]}],"mendeley":{"formattedCitation":"(Kang, Scharmann, Kang, &amp; Noh, 2010; Labobar, Setyosari, Degeng, &amp; Dsna, 2017; Ramsburg &amp; Ohlsson, 2016)","manualFormatting":"(Kang et al., 2010; Labobar et al., 2017; Ramsburg &amp; Ohlsson, 2016)","plainTextFormattedCitation":"(Kang, Scharmann, Kang, &amp; Noh, 2010; Labobar, Setyosari, Degeng, &amp; Dsna, 2017; Ramsburg &amp; Ohlsson, 2016)","previouslyFormattedCitation":"(Kang, Scharmann, Kang, &amp; Noh, 2010; Labobar, Setyosari, Degeng, &amp; Dsna, 2017; Ramsburg &amp; Ohlsson, 2016)"},"properties":{"noteIndex":0},"schema":"https://github.com/citation-style-language/schema/raw/master/csl-citation.json"}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(Kang et al., 2010; Labobar et al., 2017; Ramsburg &amp; Ohlsson, 2016)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importance is students can be frustrated and disturbed expectations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{"citationItems":[{"id":"ITEM-1","itemData":{"DOI":"10.1002/tea.21616","ISSN":"10982736","abstract":"Massive Online Open Courses (MOOCs) provide opportunities to learn a vast range of subjects. Because MOOCs are open to anyone with computer access and rarely have prerequisite requirements, the range of student backgrounds can be far more varied than in conventional classroom-based courses. Prior studies have shown that misconceptions have a huge impact on students' learning performance; however, no study has empirically examined the relationship between misconceptions and learning persistence. This study of 12,913 MOOC-takers examines how students' misconceptions about the upcoming course material affect course completion. Using a survival analysis approach, we found that, controlling for the score in a pre-course test, students holding more misconceptions had a higher dropout rate at the start of the course, an effect that diminished over time. Other student variables were found to have a positive impact on survival that persisted throughout the entire course: U.S. location, higher age, an intention to complete, better English skills, prior familiarity with the subject, motivation to earn a certificate, and score and time spent on the previous problem set (homework). By contrast, student gender, education level, number of previous MOOCs completed, and motivation to participate in online discussion forums did not affect survival.","author":[{"dropping-particle":"","family":"Chen","given":"Chen","non-dropping-particle":"","parse-names":false,"suffix":""},{"dropping-particle":"","family":"Sonnert","given":"Gerhard","non-dropping-particle":"","parse-names":false,"suffix":""},{"dropping-particle":"","family":"Sadler","given":"Philip M.","non-dropping-particle":"","parse-names":false,"suffix":""},{"dropping-particle":"","family":"Sasselov","given":"Dimitar","non-dropping-particle":"","parse-names":false,"suffix":""},{"dropping-particle":"","family":"Fredericks","given":"Colin","non-dropping-particle":"","parse-names":false,"suffix":""}],"container-title":"Journal of Research in Science Teaching","id":"ITEM-1","issued":{"date-parts":[["2019"]]},"page":"1-32","title":"The impact of student misconceptions on student persistence in a MOOC","type":"article-journal"},"uris":["http://www.mendeley.com/documents/?uuid=b3f95d90-7ff0-49cc-8469-010cc709224d"]}],"mendeley":{"formattedCitation":"(Chen, Sonnert, Sadler, Sasselov, &amp; Fredericks, 2019)","manualFormatting":"(Chen et al., 2019)","plainTextFormattedCitation":"(Chen, Sonnert, Sadler, Sasselov, &amp; Fredericks, 2019)","previouslyFormattedCitation":"(Chen, Sonnert, Sadler, Sasselov, &amp; Fredericks,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(Chen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Students become lazy to learn because they are frustrated or become lazy to explore deeper knowledge because of overconfidence (disturbed expectation). This becomes a barrier for students to build and deepen understanding of concepts in learning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{"citationItems":[{"id":"ITEM-1","itemData":{"author":[{"dropping-particle":"","family":"Verkade","given":"Heather","non-dropping-particle":"","parse-names":false,"suffix":""},{"dropping-particle":"","family":"Mulhern","given":"Terrence D","non-dropping-particle":"","parse-names":false,"suffix":""},{"dropping-particle":"","family":"Lodge, Jason","given":"M","non-dropping-particle":"","parse-names":false,"suffix":""},{"dropping-particle":"","family":"Elliot","given":"Kristine","non-dropping-particle":"","parse-names":false,"suffix":""},{"dropping-particle":"","family":"Cropper","given":"Simon","non-dropping-particle":"","parse-names":false,"suffix":""},{"dropping-particle":"","family":"Rubinstein","given":"Benjamin I P","non-dropping-particle":"","parse-names":false,"suffix":""},{"dropping-particle":"","family":"Espiñosa","given":"Allen","non-dropping-particle":"","parse-names":false,"suffix":""},{"dropping-particle":"","family":"Livett","given":"Michelle","non-dropping-particle":"","parse-names":false,"suffix":""},{"dropping-particle":"","family":"Dooley","given":"Laura","non-dropping-particle":"","parse-names":false,"suffix":""},{"dropping-particle":"","family":"Frankland","given":"Sarah","non-dropping-particle":"","parse-names":false,"suffix":""},{"dropping-particle":"","family":"Mulder","given":"Raoul","non-dropping-particle":"","parse-names":false,"suffix":""}],"id":"ITEM-1","issued":{"date-parts":[["2017"]]},"publisher":"The University of Melbourne","publisher-place":"Melbourne","title":"Misconceptions as a trigger for enhancing student learning in higher educationn: A handbook for educators","type":"book"},"uris":["http://www.mendeley.com/documents/?uuid=261f4fea-0fb6-4cd5-8c39-1912a336709a"]},{"id":"ITEM-2","itemData":{"ISBN":"978- 0- 33- 526267- 0","author":[{"dropping-particle":"","family":"Allen","given":"Michael","non-dropping-particle":"","parse-names":false,"suffix":""}],"id":"ITEM-2","issued":{"date-parts":[["2014"]]},"publisher":"Open University Press","publisher-place":"New York","title":"Misconceptions in Primary Science 2nd Edition","type":"book"},"uris":["http://www.mendeley.com/documents/?uuid=e2706289-0da6-4d57-a871-6f72f4efb1e0"]},{"id":"ITEM-3","itemData":{"DOI":"10.1002/tea.21616","ISSN":"10982736","abstract":"Massive Online Open Courses (MOOCs) provide opportunities to learn a vast range of subjects. Because MOOCs are open to anyone with computer access and rarely have prerequisite requirements, the range of student backgrounds can be far more varied than in conventional classroom-based courses. Prior studies have shown that misconceptions have a huge impact on students' learning performance; however, no study has empirically examined the relationship between misconceptions and learning persistence. This study of 12,913 MOOC-takers examines how students' misconceptions about the upcoming course material affect course completion. Using a survival analysis approach, we found that, controlling for the score in a pre-course test, students holding more misconceptions had a higher dropout rate at the start of the course, an effect that diminished over time. Other student variables were found to have a positive impact on survival that persisted throughout the entire course: U.S. location, higher age, an intention to complete, better English skills, prior familiarity with the subject, motivation to earn a certificate, and score and time spent on the previous problem set (homework). By contrast, student gender, education level, number of previous MOOCs completed, and motivation to participate in online discussion forums did not affect survival.","author":[{"dropping-particle":"","family":"Chen","given":"Chen","non-dropping-particle":"","parse-names":false,"suffix":""},{"dropping-particle":"","family":"Sonnert","given":"Gerhard","non-dropping-particle":"","parse-names":false,"suffix":""},{"dropping-particle":"","family":"Sadler","given":"Philip M.","non-dropping-particle":"","parse-names":false,"suffix":""},{"dropping-particle":"","family":"Sasselov","given":"Dimitar","non-dropping-particle":"","parse-names":false,"suffix":""},{"dropping-particle":"","family":"Fredericks","given":"Colin","non-dropping-particle":"","parse-names":false,"suffix":""}],"container-title":"Journal of Research in Science Teaching","id":"ITEM-3","issued":{"date-parts":[["2019"]]},"page":"1-32","title":"The impact of student misconceptions on student persistence in a MOOC","type":"article-journal"},"uris":["http://www.mendeley.com/documents/?uuid=b3f95d90-7ff0-49cc-8469-010cc709224d"]}],"mendeley":{"formattedCitation":"(Allen, 2014; Chen et al., 2019; Verkade et al., 2017)","plainTextFormattedCitation":"(Allen, 2014; Chen et al., 2019; Verkade et al., 2017)","previouslyFormattedCitation":"(Allen, 2014; Chen et al., 2019; Verkade et al.,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(Allen, 2014; Chen et al., 2019; Verkade et al.,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Indeed worse, misconceptions also have a cumulative impact on students, extending from basic education even to the point where they have a certain level of expertise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{"citationItems":[{"id":"ITEM-1","itemData":{"DOI":"10.1002/tea.21396","ISSN":"10982736","abstract":"While the majority of published research on conceptual change has focused on how misconceptions can be abandoned or modified, some recent research findings support the hypothesis that acquired scientific knowledge does not necessarily erase or alter initial non-scientific knowledge but rather coexists with it. In keeping with this “coexistence claim,” this article presents an analysis of scientific understanding in four groups of individuals with varying degrees of expertise (preschoolers, elementary students, secondary students, and science teachers) using a cognitive task on buoyancy. This task allowed us to determine the prevalence of certain conceptions and the interference caused by two possible conceptual distractors with regard to producing accurate answers. Results describe the progression of the desired (scientific) conception with age/expertise as well as the evolution or regression of the statuses of two misconceptions. Results also show that misconceptions continue to interfere with performance even when there is a higher degree of scientific expertise, and that patterns of such interference can be studied. In keeping with these conclusions, we argue for the use of a model of conceptual learning called “conceptual prevalence.” © 2017 The Authors. Journal of Research in Science Teaching Published by Wiley Periodicals, Inc. J Res Sci Teach 54:1121–1142, 2017.","author":[{"dropping-particle":"","family":"Potvin","given":"Patrice","non-dropping-particle":"","parse-names":false,"suffix":""},{"dropping-particle":"","family":"Cyr","given":"Guillaume","non-dropping-particle":"","parse-names":false,"suffix":""}],"container-title":"Journal of Research in Science Teaching","id":"ITEM-1","issue":"9","issued":{"date-parts":[["2017"]]},"page":"1121-1142","title":"Toward a durable prevalence of scientific conceptions: Tracking the effects of two interfering misconceptions about buoyancy from preschoolers to science teachers","type":"article-journal","volume":"54"},"uris":["http://www.mendeley.com/documents/?uuid=5eb33701-c5f9-4dc0-8357-2c99016b490b"]},{"id":"ITEM-2","itemData":{"DOI":"10.1002/tea.21616","ISSN":"10982736","abstract":"Massive Online Open Courses (MOOCs) provide opportunities to learn a vast range of subjects. Because MOOCs are open to anyone with computer access and rarely have prerequisite requirements, the range of student backgrounds can be far more varied than in conventional classroom-based courses. Prior studies have shown that misconceptions have a huge impact on students' learning performance; however, no study has empirically examined the relationship between misconceptions and learning persistence. This study of 12,913 MOOC-takers examines how students' misconceptions about the upcoming course material affect course completion. Using a survival analysis approach, we found that, controlling for the score in a pre-course test, students holding more misconceptions had a higher dropout rate at the start of the course, an effect that diminished over time. Other student variables were found to have a positive impact on survival that persisted throughout the entire course: U.S. location, higher age, an intention to complete, better English skills, prior familiarity with the subject, motivation to earn a certificate, and score and time spent on the previous problem set (homework). By contrast, student gender, education level, number of previous MOOCs completed, and motivation to participate in online discussion forums did not affect survival.","author":[{"dropping-particle":"","family":"Chen","given":"Chen","non-dropping-particle":"","parse-names":false,"suffix":""},{"dropping-particle":"","family":"Sonnert","given":"Gerhard","non-dropping-particle":"","parse-names":false,"suffix":""},{"dropping-particle":"","family":"Sadler","given":"Philip M.","non-dropping-particle":"","parse-names":false,"suffix":""},{"dropping-particle":"","family":"Sasselov","given":"Dimitar","non-dropping-particle":"","parse-names":false,"suffix":""},{"dropping-particle":"","family":"Fredericks","given":"Colin","non-dropping-particle":"","parse-names":false,"suffix":""}],"container-title":"Journal of Research in Science Teaching","id":"ITEM-2","issued":{"date-parts":[["2019"]]},"page":"1-32","title":"The impact of student misconceptions on student persistence in a MOOC","type":"article-journal"},"uris":["http://www.mendeley.com/documents/?uuid=b3f95d90-7ff0-49cc-8469-010cc709224d"]}],"mendeley":{"formattedCitation":"(Chen et al., 2019; Potvin &amp; Cyr, 2017)","plainTextFormattedCitation":"(Chen et al., 2019; Potvin &amp; Cyr, 2017)","previouslyFormattedCitation":"(Chen et al., 2019; Potvin &amp; Cyr,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(Chen et al., 2019; Potvin &amp; Cyr,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for example, these students have become teachers. More critical, the misconception will be transmitted to students again, since one of the sources of misconception </w:t>
      </w:r>
      <w:r w:rsidRPr="00AD23CC">
        <w:rPr>
          <w:rFonts w:ascii="Calibri" w:eastAsia="Calibri" w:hAnsi="Calibri" w:cs="Arial"/>
          <w:sz w:val="22"/>
          <w:szCs w:val="22"/>
          <w:lang w:val="id-ID"/>
        </w:rPr>
        <w:lastRenderedPageBreak/>
        <w:t xml:space="preserve">is the teacher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{"citationItems":[{"id":"ITEM-1","itemData":{"DOI":"10.15294/jpii.v8i2.18649","ISSN":"20894392","abstract":"A misconception is well-known as a barrier to students in learning science. Some topics in science learning are always giving misconception to novice students, and there have been various kinds of diagnostic assessment used by researchers to identify student misconceptions in science. This present study provides information about an overview of the common topics that students usually get misconception in science, and diagnostic assessment used to identify students’ misconception in science. This review also provides a comparison of every instrument with the weaknesses and the strengths reviewed from a total 111 articles that had published from the year 2015 to 2019 in the leading journal having the topic of students’ misconceptions in science. This study revealed that 33 physics, 12 chemistry, and 15 biology concepts in science that mainly caused misconceptions to students. Furthermore, it found that interview (10.74%), simple multiple-choice tests (32.23%) and multiple tier tests (33.06%), and open-ended tests (23.97%) are commonly used as diagnostic tests. However, every kind of tests has benefits and drawbacks over the other when it is used in assessing student conception. An expert user like teachers and researchers must be aware when using diagnostic assessment in the learning process, exceptionally to construct student conception. This study is expected to help researchers and teachers to decide the best instrument to be used in assessing student misconceptions and to examine the common science topics that caused misconceptions.","author":[{"dropping-particle":"","family":"Soeharto","given":"","non-dropping-particle":"","parse-names":false,"suffix":""},{"dropping-particle":"","family":"Csapó","given":"B.","non-dropping-particle":"","parse-names":false,"suffix":""},{"dropping-particle":"","family":"Sarimanah","given":"E.","non-dropping-particle":"","parse-names":false,"suffix":""},{"dropping-particle":"","family":"Dewi","given":"F. I.","non-dropping-particle":"","parse-names":false,"suffix":""},{"dropping-particle":"","family":"Sabri","given":"T.","non-dropping-particle":"","parse-names":false,"suffix":""}],"container-title":"Jurnal Pendidikan IPA Indonesia","id":"ITEM-1","issue":"2","issued":{"date-parts":[["2019"]]},"page":"247-266","title":"A review of students’ common misconceptions in science and their diagnostic assessment tools","type":"article-journal","volume":"8"},"uris":["http://www.mendeley.com/documents/?uuid=ac95cb88-2b48-4de7-ac60-ba8e0ffdef2d"]},{"id":"ITEM-2","itemData":{"ISBN":"9780858473317","author":[{"dropping-particle":"","family":"Skamp","given":"Keith","non-dropping-particle":"","parse-names":false,"suffix":""}],"id":"ITEM-2","issued":{"date-parts":[["2012"]]},"publisher":"Australian Academy of Science","title":"Teaching Primary Science","type":"book"},"uris":["http://www.mendeley.com/documents/?uuid=96995adc-32cf-48b0-9154-665ab7f8db97"]},{"id":"ITEM-3","itemData":{"ISBN":"9780078024320","author":[{"dropping-particle":"","family":"Arends","given":"Richard I","non-dropping-particle":"","parse-names":false,"suffix":""}],"edition":"9th","id":"ITEM-3","issued":{"date-parts":[["2012"]]},"publisher":"McGraw-Hill","publisher-place":"New York","title":"Learning to Teach","type":"book"},"uris":["http://www.mendeley.com/documents/?uuid=c7aea533-9395-4227-97fb-0a6cf8941162"]},{"id":"ITEM-4","itemData":{"DOI":"10.26714/jps.5.2.2017.80-87","abstract":"Penelitian ini bertujuan untuk megidentifikasi miskonsepsi mahasiswa tentang konsep dasar gaya dan gerak untuk sekolah dasar. Instrumen yang digunakan adalah four-tier test terdiri dari sepuluh poin pertanyaan pilihan ganda. Dengan instrumen ini, dapat ditentukan klasifikasi mahasiswa yang paham konsep, tidak paham konsep, dan yang mengalami miskonsepsi, serta juga dapat diidentifikasi kemungkinan penyebab miskonsepsinya. Tes dilakukan pada mahasiswa pendidikan guru sekolah dasar yang menempuh mata kuliah konsep dasar IPA SD di perguruan tinggi di Tulungagung. Hasil penelitian ini mampu menentukan: (1) profil miskonsepsi konsep dasar gaya dan gerak, yaitu pada konsep resultan gaya pada benda stasioner adalah sebesar 26%; konsep kelembaman benda sebesar 44%; konsep pengaruh resultan gaya yang searah gerak benda sebesar 38%; serta konsep pengaruh resultan gaya yang berlawanan arah gerak benda sebesar 33%; (2) rata-rata sumber pengetahuan mahasiswa yang mengalami miskonsepsi adalah 19% dari guru, 4% dari buku, 38% dari pengalaman sehari-hari, dan 39% dari hasil pemikiran sendiri. Hasil ini memberikan implikasi perlunya dilakukan inovasi tentang strategi pembelajaran, media pembelajaran, maupun substansi materi pembelajaran konsep dasar IPA SD untuk remidiasi miskonsepsi.","author":[{"dropping-particle":"","family":"Resbiantoro","given":"Gaguk","non-dropping-particle":"","parse-names":false,"suffix":""},{"dropping-particle":"","family":"Nugraha","given":"Adola Wanda","non-dropping-particle":"","parse-names":false,"suffix":""}],"container-title":"Jurnal Pendidikan Sains (JPS)","id":"ITEM-4","issue":"2","issued":{"date-parts":[["2017"]]},"page":"80-87","title":"Miskonsepsi Mahasiswa pada Konsep Dasar Gaya dan Gerak untuk Sekolah Dasar","type":"article-journal","volume":"5"},"uris":["http://www.mendeley.com/documents/?uuid=db78b0eb-8273-4828-9f25-b44ad27575f3"]}],"mendeley":{"formattedCitation":"(Arends, 2012; Resbiantoro &amp; Nugraha, 2017; Skamp, 2012; Soeharto, Csapó, Sarimanah, Dewi, &amp; Sabri, 2019)","manualFormatting":"(Arends, 2012; Resbiantoro &amp; Nugraha, 2017; Skamp, 2012; Soeharto et al., 2019)","plainTextFormattedCitation":"(Arends, 2012; Resbiantoro &amp; Nugraha, 2017; Skamp, 2012; Soeharto, Csapó, Sarimanah, Dewi, &amp; Sabri, 2019)","previouslyFormattedCitation":"(Arends, 2012; Resbiantoro &amp; Nugraha, 2017; Skamp, 2012; Soeharto, Csapó, Sarimanah, Dewi, &amp; Sabri,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(Arends, 2012; Resbiantoro &amp; Nugraha, 2017; Skamp, 2012; Soeharto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If students' conceptual understandings are not correct, it will inhibit the ability to invent and not be able to solve problems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{"citationItems":[{"id":"ITEM-1","itemData":{"DOI":"10.1063/1.2820931","ISBN":"9780735404656","ISSN":"0094243X","abstract":"We examine the effect of misconceptions about friction on students' ability to solve problems and transfer from one context to another. We analyze written responses to paired isomorphic problems given to introductory physics students and discussions with a subset of students. Misconceptions associated with friction in problems were sometimes so robust that pairing them with isomorphic problems not involving friction did not help students fully discern their underlying similarities. © 2007 American Institute of Physics.","author":[{"dropping-particle":"","family":"Singh","given":"Chandralekha","non-dropping-particle":"","parse-names":false,"suffix":""}],"container-title":"AIP Conference Proceedings","id":"ITEM-1","issued":{"date-parts":[["2007"]]},"page":"196-199","title":"Effect of misconception on transfer in problem solving","type":"article-journal","volume":"951"},"uris":["http://www.mendeley.com/documents/?uuid=0825777e-6c1a-4d5f-8a1e-443bb4b4b19c"]},{"id":"ITEM-2","itemData":{"DOI":"10.3389/feduc.2019.00032","ISSN":"2504-284X","author":[{"dropping-particle":"","family":"Vosniadou","given":"Stella","non-dropping-particle":"","parse-names":false,"suffix":""}],"container-title":"Frontiers in Education","id":"ITEM-2","issue":"32","issued":{"date-parts":[["2019"]]},"page":"1-6","title":"The Development of Students' Understanding of Science","type":"article-journal","volume":"4"},"uris":["http://www.mendeley.com/documents/?uuid=d5e07cbf-ff36-424b-9054-f9ce0f9634cb"]}],"mendeley":{"formattedCitation":"(Singh, 2007; Vosniadou, 2019)","plainTextFormattedCitation":"(Singh, 2007; Vosniadou, 2019)","previouslyFormattedCitation":"(Singh, 2007; Vosniadou,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(Singh, 2007; Vosniadou,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conceptual understanding, thinking abilities, and problem-solving abilities are the expected outcomes in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-century science learning, including physics.</w:t>
      </w:r>
    </w:p>
    <w:p w14:paraId="42CDA77F" w14:textId="77777777" w:rsidR="00AD23CC" w:rsidRPr="00AD23CC" w:rsidRDefault="00AD23CC" w:rsidP="00AD23CC">
      <w:pPr>
        <w:spacing w:after="160" w:line="259" w:lineRule="auto"/>
        <w:rPr>
          <w:rFonts w:ascii="Calibri" w:eastAsia="Calibri" w:hAnsi="Calibri" w:cs="Arial"/>
          <w:sz w:val="22"/>
          <w:szCs w:val="22"/>
          <w:lang w:val="id-ID"/>
        </w:rPr>
      </w:pPr>
    </w:p>
    <w:p w14:paraId="669F990A"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Based on P21 and ATC21S, the frameworks of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 xml:space="preserve">-century skills include critical thinking and problem-solving as targets for achievement in the cognitive area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978-94-017-9395-7","author":[{"dropping-particle":"","family":"Binkley","given":"Marilyn","non-dropping-particle":"","parse-names":false,"suffix":""},{"dropping-particle":"","family":"Erstad","given":"Ola","non-dropping-particle":"","parse-names":false,"suffix":""},{"dropping-particle":"","family":"Herman","given":"Joan","non-dropping-particle":"","parse-names":false,"suffix":""},{"dropping-particle":"","family":"Raizen","given":"Senta","non-dropping-particle":"","parse-names":false,"suffix":""},{"dropping-particle":"","family":"Ripley","given":"Martin","non-dropping-particle":"","parse-names":false,"suffix":""},{"dropping-particle":"","family":"Miller-Ricci","given":"May","non-dropping-particle":"","parse-names":false,"suffix":""},{"dropping-particle":"","family":"Rumble","given":"Mike","non-dropping-particle":"","parse-names":false,"suffix":""}],"chapter-number":"II","container-title":"Assessment and Teaching of 21st Century Skills","id":"ITEM-1","issued":{"date-parts":[["2012"]]},"page":"17-66","publisher":"Springer Science+Business Media","title":"Defining Twenty-First Century Skills","type":"chapter"},"uris":["http://www.mendeley.com/documents/?uuid=9f8918d7-545e-4ab0-b302-7d19f49de617"]},{"id":"ITEM-2","itemData":{"abstract":"A unified vision for learning to ensure student success in a world where change is constant and learning never stops.","author":[{"dropping-particle":"","family":"Battelle for Kids","given":"","non-dropping-particle":"","parse-names":false,"suffix":""}],"container-title":"Partnership for 21st century learning","id":"ITEM-2","issued":{"date-parts":[["2019"]]},"title":"Framework for 21st Century Learning","type":"entry-encyclopedia"},"uris":["http://www.mendeley.com/documents/?uuid=b4725518-9446-4258-a03b-fb4344510bc0"]}],"mendeley":{"formattedCitation":"(Battelle for Kids, 2019; Binkley et al., 2012)","plainTextFormattedCitation":"(Battelle for Kids, 2019; Binkley et al., 2012)","previouslyFormattedCitation":"(Battelle for Kids, 2019; Binkley et al.,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(Battelle for Kids, 2019; Binkley et al., 2012)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If students have any misconceptions, then the conceptual change is required to remediate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{"citationItems":[{"id":"ITEM-1","itemData":{"DOI":"10.4324/9781315712581","ISBN":"9781138890138","abstract":"Sheetwash and rilling are two important mechanisms of soil erosion by runoff. The relative contribution of each mechanism has been a vexing question because measuring thin sheet erosion is difficult. Fortuitously, various fallout radionuclides have distinct distributions in the soil column; thus, different depths of erosion produce suspended sediment with unique radionuclide signatures. Those signatures can be used to estimate the depth and areal extent of sheet and rill erosion. We developed a model to execute multiple mass balances on soil and radionuclides to quantify these erosion mechanisms. Radionuclide activities (Be-7, Cs-137, Pb-210) in the soil of a 6.03 ha agricultural field near Treynor, Iowa, and in suspended sediment washed off the field during thunderstorm runoff were determined by gamma spectroscopy. Using the model, we examined 15.5 million possible combinations of the depth and areal extent of rill and sheet erosion. The best solution to the mass balances corresponded to rills eroding 0.38% of the basin to a depth of 35 mm and sheetwash eroding 37% of the basin to a depth of 0.012 mm. Rill erosion produced 29 times more sediment than sheet erosion.","author":[{"dropping-particle":"","family":"Stump","given":"David J.","non-dropping-particle":"","parse-names":false,"suffix":""}],"container-title":"Conceptual Change and the Philosophy of Science","id":"ITEM-1","issued":{"date-parts":[["2015"]]},"publisher":"Routledge","publisher-place":"New York","title":"Conceptual Change and the Philosophy of Science","type":"book"},"uris":["http://www.mendeley.com/documents/?uuid=755deeda-1f8f-4e7a-a888-e6ff43bc963e"]},{"id":"ITEM-2","itemData":{"ISBN":"0306476371","author":[{"dropping-particle":"","family":"Chi","given":"Michelene T. H.","non-dropping-particle":"","parse-names":false,"suffix":""},{"dropping-particle":"","family":"Roscoe","given":"Rod D.","non-dropping-particle":"","parse-names":false,"suffix":""}],"container-title":"Reconsidering Conceptual Change: Issues in Theory and Practice","editor":[{"dropping-particle":"","family":"Limón","given":"Margarita","non-dropping-particle":"","parse-names":false,"suffix":""},{"dropping-particle":"","family":"Mason","given":"Lucia","non-dropping-particle":"","parse-names":false,"suffix":""}],"id":"ITEM-2","issued":{"date-parts":[["2002"]]},"page":"3-28","publisher":"Kluwer Academic Publishers","publisher-place":"New York","title":"The Processes and Challenges of Conceptual Change","type":"chapter"},"uris":["http://www.mendeley.com/documents/?uuid=8d8e4118-f87f-49db-b6c7-e071f9bcd552"]}],"mendeley":{"formattedCitation":"(Chi &amp; Roscoe, 2002; Stump, 2015)","plainTextFormattedCitation":"(Chi &amp; Roscoe, 2002; Stump, 2015)","previouslyFormattedCitation":"(Chi &amp; Roscoe, 2002; Stump,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(Chi &amp; Roscoe, 2002; Stump,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Conceptual change is able to bring the ability of analogical thinking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{"citationItems":[{"id":"ITEM-1","itemData":{"DOI":"10.7551/mitpress/9218.001.0001","ISBN":"9780262017282","author":[{"dropping-particle":"","family":"Thagard","given":"Paul","non-dropping-particle":"","parse-names":false,"suffix":""}],"container-title":"The Cognitive Science of Science","id":"ITEM-1","issued":{"date-parts":[["2012"]]},"publisher":"The MIT Press","publisher-place":"Massachusetts","title":"The Cognitive Science of Science: Explanation, Discovery, and Conceptual Change","type":"book"},"uris":["http://www.mendeley.com/documents/?uuid=2ddcb640-2316-4f89-a868-028a36912219"]}],"mendeley":{"formattedCitation":"(Thagard, 2012)","plainTextFormattedCitation":"(Thagard, 2012)","previouslyFormattedCitation":"(Thagard,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(Thagard, 2012)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reasoning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{"citationItems":[{"id":"ITEM-1","itemData":{"DOI":"10.4324/9781315712581","ISBN":"9781138890138","abstract":"Sheetwash and rilling are two important mechanisms of soil erosion by runoff. The relative contribution of each mechanism has been a vexing question because measuring thin sheet erosion is difficult. Fortuitously, various fallout radionuclides have distinct distributions in the soil column; thus, different depths of erosion produce suspended sediment with unique radionuclide signatures. Those signatures can be used to estimate the depth and areal extent of sheet and rill erosion. We developed a model to execute multiple mass balances on soil and radionuclides to quantify these erosion mechanisms. Radionuclide activities (Be-7, Cs-137, Pb-210) in the soil of a 6.03 ha agricultural field near Treynor, Iowa, and in suspended sediment washed off the field during thunderstorm runoff were determined by gamma spectroscopy. Using the model, we examined 15.5 million possible combinations of the depth and areal extent of rill and sheet erosion. The best solution to the mass balances corresponded to rills eroding 0.38% of the basin to a depth of 35 mm and sheetwash eroding 37% of the basin to a depth of 0.012 mm. Rill erosion produced 29 times more sediment than sheet erosion.","author":[{"dropping-particle":"","family":"Stump","given":"David J.","non-dropping-particle":"","parse-names":false,"suffix":""}],"container-title":"Conceptual Change and the Philosophy of Science","id":"ITEM-1","issued":{"date-parts":[["2015"]]},"publisher":"Routledge","publisher-place":"New York","title":"Conceptual Change and the Philosophy of Science","type":"book"},"uris":["http://www.mendeley.com/documents/?uuid=755deeda-1f8f-4e7a-a888-e6ff43bc963e"]}],"mendeley":{"formattedCitation":"(Stump, 2015)","plainTextFormattedCitation":"(Stump, 2015)","previouslyFormattedCitation":"(Stump,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(Stump,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and critical thinking, so students have a deep understanding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{"citationItems":[{"id":"ITEM-1","itemData":{"DOI":"10.4324/9781315467139","ISBN":"9781138205390","abstract":"Conceptual change, how conceptual understanding is transformed, has been investigated ex- tensively since the 1970s. The field has now grown into a multifaceted, interdisciplinary effort with strands of research in cognitive and developmental psychology, education, educational psychology, and the learning sciences. Converging Perspectives on Conceptual Change brings to- gether an extensive team of expert contributors from around the world, and offers a unique examination of how distinct lines of inquiry can complement each other and have converged over time. Amin and Levrini adopt a new approach to assembling the diverse research on con- ceptual change: the combination of short position pieces with extended synthesis chapters within each section, as well as an overall synthesis chapter at the end of the volume, pro- vide a coherent and comprehensive perspective on conceptual change research. Arranged over five parts, the book covers a number of topics including: • the nature of concepts and conceptual change • representation, language, and discourse in conceptual change • modeling, explanation, and argumentation in conceptual change • metacognition and epistemology in conceptual change • identity and conceptual change. Throughout this wide-ranging volume, the editors present researchers and practitioners with a more internally consistent picture of conceptual change by exploring convergence and complementarity across perspectives. By mapping features of an emerging paradigm, they challenge newcomers and established scholars alike to embrace a more programmatic orientation towards conceptual change.","author":[{"dropping-particle":"","family":"Treagust","given":"David F.","non-dropping-particle":"","parse-names":false,"suffix":""},{"dropping-particle":"","family":"Won","given":"Mihye","non-dropping-particle":"","parse-names":false,"suffix":""},{"dropping-particle":"","family":"McLure","given":"Felicity","non-dropping-particle":"","parse-names":false,"suffix":""}],"container-title":"Converging Perspectives on Conceptual Change","editor":[{"dropping-particle":"","family":"Amin","given":"Tamer G.","non-dropping-particle":"","parse-names":false,"suffix":""},{"dropping-particle":"","family":"Levrini","given":"Olivia","non-dropping-particle":"","parse-names":false,"suffix":""}],"id":"ITEM-1","issued":{"date-parts":[["2017"]]},"publisher":"Routledge","publisher-place":"New York","title":"Multiple Representations and Students' Conceptual Change in Science","type":"chapter"},"uris":["http://www.mendeley.com/documents/?uuid=0112d67f-4ccf-4d57-a0ad-42d4dad8d734"]},{"id":"ITEM-2","itemData":{"ISBN":"0306476371","author":[{"dropping-particle":"","family":"Chi","given":"Michelene T. H.","non-dropping-particle":"","parse-names":false,"suffix":""},{"dropping-particle":"","family":"Roscoe","given":"Rod D.","non-dropping-particle":"","parse-names":false,"suffix":""}],"container-title":"Reconsidering Conceptual Change: Issues in Theory and Practice","editor":[{"dropping-particle":"","family":"Limón","given":"Margarita","non-dropping-particle":"","parse-names":false,"suffix":""},{"dropping-particle":"","family":"Mason","given":"Lucia","non-dropping-particle":"","parse-names":false,"suffix":""}],"id":"ITEM-2","issued":{"date-parts":[["2002"]]},"page":"3-28","publisher":"Kluwer Academic Publishers","publisher-place":"New York","title":"The Processes and Challenges of Conceptual Change","type":"chapter"},"uris":["http://www.mendeley.com/documents/?uuid=8d8e4118-f87f-49db-b6c7-e071f9bcd552"]}],"mendeley":{"formattedCitation":"(Chi &amp; Roscoe, 2002; D. F. Treagust, Won, &amp; McLure, 2017)","manualFormatting":"(Chi &amp; Roscoe, 2002; Treagust et al., 2017)","plainTextFormattedCitation":"(Chi &amp; Roscoe, 2002; D. F. Treagust, Won, &amp; McLure, 2017)","previouslyFormattedCitation":"(Chi &amp; Roscoe, 2002; D. F. Treagust, Won, &amp; McLure,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(Chi &amp; Roscoe, 2002; Treagust et al.,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remediation of misconceptions can support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 xml:space="preserve">-century learning goals. Learning must focus on eliminating students' misconceptions, that mean, teacher must obtain a misconception diagnosis before carrying out learning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{"citationItems":[{"id":"ITEM-1","itemData":{"DOI":"10.20533/ijcdse.2042.6364.2018.0444","abstract":"Misconceptions are the obstacles in students' learning. Teachers play a major role in the learning of the students. Therefore, teachers should be aware of the nature of misconceptions and possible remedies to mediate the misconceptions. The present qualitative study was designed to investigate the chemistry teachers' understanding regarding students' misconceptions. The findings of the study will contribute towards the learning community and add up to the existing body of literature. It would be beneficial for the curriculum developers of teacher educators. It will also be advantageous to teacher trainers. The sample included 15 chemistry teachers who were selected purposively. Semi-structured interview was used as a tool for data gathering. The interview transcripts were transcribed after thematic description. The results revealed that most of the teachers understand the terminology of misconceptions. However, they do not possess the knowledge about the sources of these misconceptions and techniques to rectify them. In addition, the teachers do not consider the possible misconceptions that could generate from their teaching. On the basis of the findings, it is recommended to incorporate the techniques required for the mediation of misconceptions in the curriculum for teacher educators. It is necessary to equip teachers with essential capabilities of continuously identifying their students' misconceptions and implementing remedial instructional strategies.","author":[{"dropping-particle":"","family":"Ilyas","given":"Anam","non-dropping-particle":"","parse-names":false,"suffix":""},{"dropping-particle":"","family":"Saeed","given":"Muhammad","non-dropping-particle":"","parse-names":false,"suffix":""}],"container-title":"International Journal for Cross-Disciplinary Subjects in Education","id":"ITEM-1","issue":"1","issued":{"date-parts":[["2018"]]},"page":"3323-3328","title":"Exploring Teachers’ Understanding about Misconceptions of Secondary Grade Chemistry Students","type":"article-journal","volume":"9"},"uris":["http://www.mendeley.com/documents/?uuid=2e4fc0a5-23da-402a-814e-953973f7a0f5"]}],"mendeley":{"formattedCitation":"(Ilyas &amp; Saeed, 2018)","plainTextFormattedCitation":"(Ilyas &amp; Saeed, 2018)","previouslyFormattedCitation":"(Ilyas &amp; Saeed, 2018)"},"properties":{"noteIndex":0},"schema":"https://github.com/citation-style-language/schema/raw/master/csl-citation.json"}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(Ilyas &amp; Saeed, 2018)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For conducting a conceptual change approach, teachers must understand misconceptions in physics, from the process of diagnosis, causes, to the remediation process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{"citationItems":[{"id":"ITEM-1","itemData":{"abstract":"The purpose of this research was to describe the general self-efficacies of prospective teachers about TPACK based on gender and the types of internship school. This study was conducted to 55 prospective teachers that had finished their internship program at 18 schools, junior high schools, senior high schools, and vocational high schools. Data were collected through questionnaires, observations, and interviews. Questionnaires consist of statements on each TPACK component with the rating scale of 0-10. The result showed that self-efficacies of each TPACK component are 6,97 for TK, 5,71 for CK; 6,49 for PK; 6,95 for PCK; 6,38 for TCK; 6,05 for TPK; and 5,90 for TPACK; there are significant differences self-efficacies at TK and PCK component between male and female of prospective teachers, with the female one has a higher self-efficacies than the male one; there are significant difference self-efficacies at CK and TPACK component between the prospective teacher that have done an internship program at junior high schools, senior high schools, and vocational high schools.","author":[{"dropping-particle":"","family":"Resbiantoro","given":"Gaguk","non-dropping-particle":"","parse-names":false,"suffix":""}],"container-title":"VARIDIKA (Varia Pendidikan)","id":"ITEM-1","issue":"2","issued":{"date-parts":[["2016"]]},"page":"102-115","title":"Self-Efficacies of Prospective Mathematic Teachers ’ Technological Pedagogical Content Knowledge","type":"article-journal","volume":"28"},"uris":["http://www.mendeley.com/documents/?uuid=3a6b7d44-a4f3-4b75-82e2-0ce09166bed6"]},{"id":"ITEM-2","itemData":{"DOI":"10.1007/s10972-008-9102-y","ISSN":"1046560X","abstract":"This study sought to determine what elementary teachers know about student science misconceptions and how teachers address student misconceptions in instruction. The sample included 30 teachers from California with at least 1-year of experience teaching grades 3, 4, and 5. A semistructured interview was used. The interview transcripts were transcribed and coded under the following categories: definition of misconceptions, sources of misconceptions, development of misconceptions, and teaching strategies for addressing misconceptions. The results suggest that, although most of the teachers are aware of misconceptions, they do not understand how they develop or fully appreciate their impact on their instruction. © 2008 Springer Science+Business Media, B.V.","author":[{"dropping-particle":"","family":"Gomez-Zwiep","given":"Susan","non-dropping-particle":"","parse-names":false,"suffix":""}],"container-title":"Journal of Science Teacher Education","id":"ITEM-2","issue":"5","issued":{"date-parts":[["2008"]]},"page":"437-454","title":"Elementary teachers' understanding of students' science misconceptions: Implications for practice and teacher education","type":"article-journal","volume":"19"},"uris":["http://www.mendeley.com/documents/?uuid=e675a04e-49fa-450f-8551-a3006e3257df"]},{"id":"ITEM-3","itemData":{"DOI":"10.1177/0735633119845413","ISSN":"15414140","abstract":"A quality computer science (CS) teacher needs to understand students’ common misconceptions in learning CS. This study explored one aspect of CS teachers’ understanding of student misconceptions: their perceptions of student misconceptions related to introductory programming. Perceptions in this study included three parts: teachers’ perceived frequency of a student misconception, teachers’ perceived importance of a misconception in learning, and teachers’ confidence in addressing a misconception. Teachers in our study taught a Python-based CS course for high schools students. A survey was designed and administered to assess teachers’ perceptions of students’ misconceptions. Our results indicated that teachers’ confidence of addressing misconceptions and the teaching context may affect their perceptions of student misconceptions. We also found that some latent misconceptions are likely to lead to a perception of low frequency as they can be more difficult to detect. Moreover, our study found that teachers’ degrees and additional computing training showed positive relationships with their confidence of addressing student misconceptions and that additional computing training also showed a positive relationship with teachers’ perceived importance of student misconceptions. Implications of the findings for future research and practice of CS education are discussed.","author":[{"dropping-particle":"","family":"Qian","given":"Yizhou","non-dropping-particle":"","parse-names":false,"suffix":""},{"dropping-particle":"","family":"Hambrusch","given":"Susanne","non-dropping-particle":"","parse-names":false,"suffix":""},{"dropping-particle":"","family":"Yadav","given":"Aman","non-dropping-particle":"","parse-names":false,"suffix":""},{"dropping-particle":"","family":"Gretter","given":"Sarah","non-dropping-particle":"","parse-names":false,"suffix":""},{"dropping-particle":"","family":"Li","given":"Yue","non-dropping-particle":"","parse-names":false,"suffix":""}],"container-title":"Journal of Educational Computing Research","id":"ITEM-3","issue":"1800","issued":{"date-parts":[["2019"]]},"title":"Teachers’ Perceptions of Student Misconceptions in Introductory Programming","type":"article-journal"},"uris":["http://www.mendeley.com/documents/?uuid=e45910ea-95d9-4365-b8c4-7ece69028b0a"]}],"mendeley":{"formattedCitation":"(Gomez-Zwiep, 2008; Qian, Hambrusch, Yadav, Gretter, &amp; Li, 2019; Resbiantoro, 2016)","manualFormatting":"(Gomez-Zwiep, 2008; Qian et al., 2019; Resbiantoro, 2016)","plainTextFormattedCitation":"(Gomez-Zwiep, 2008; Qian, Hambrusch, Yadav, Gretter, &amp; Li, 2019; Resbiantoro, 2016)","previouslyFormattedCitation":"(Gomez-Zwiep, 2008; Qian, Hambrusch, Yadav, Gretter, &amp; Li, 2019; Resbiantoro, 2016)"},"properties":{"noteIndex":0},"schema":"https://github.com/citation-style-language/schema/raw/master/csl-citation.json"}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(Gomez-Zwiep, 2008; Qian et al., 2019; Resbiantoro, 2016)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p>
    <w:p w14:paraId="13BEEFAC" w14:textId="77777777" w:rsidR="00AD23CC" w:rsidRPr="00AD23CC" w:rsidRDefault="00AD23CC" w:rsidP="00AD23CC">
      <w:pPr>
        <w:spacing w:after="160" w:line="259" w:lineRule="auto"/>
        <w:rPr>
          <w:rFonts w:ascii="Calibri" w:eastAsia="Calibri" w:hAnsi="Calibri" w:cs="Arial"/>
          <w:sz w:val="22"/>
          <w:szCs w:val="22"/>
          <w:lang w:val="id-ID"/>
        </w:rPr>
      </w:pPr>
    </w:p>
    <w:p w14:paraId="1EFD6790"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The awareness of misconceptions is needed by teachers and other practitioners because of the complexity consequence, even impeding the attainment of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 xml:space="preserve">-century skills. The diagnosis of misconception in physics must be known by the teachers for outlining the remediation strategies. This article discusses the diagnostic tools, the causes, and the remediation strategies in physics learning. The authors have reviewed several international papers related to misconceptions in physics for the last fifteen years (2005-2019). </w:t>
      </w:r>
    </w:p>
    <w:p w14:paraId="7A7ABD20" w14:textId="77777777" w:rsidR="00AD23CC" w:rsidRPr="00AD23CC" w:rsidRDefault="00AD23CC" w:rsidP="00AD23CC">
      <w:pPr>
        <w:spacing w:after="160" w:line="259" w:lineRule="auto"/>
        <w:rPr>
          <w:rFonts w:ascii="Calibri" w:eastAsia="Calibri" w:hAnsi="Calibri" w:cs="Arial"/>
          <w:sz w:val="22"/>
          <w:szCs w:val="22"/>
          <w:lang w:val="id-ID"/>
        </w:rPr>
      </w:pPr>
    </w:p>
    <w:p w14:paraId="51B66F35"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Method</w:t>
      </w:r>
    </w:p>
    <w:p w14:paraId="5ED52463"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 xml:space="preserve">Identifying journal articles </w:t>
      </w:r>
    </w:p>
    <w:p w14:paraId="31E1C58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Identification was performed by exploring various databases for international journals, including ScienceDirect, SpringerLink, Taylor &amp; Francis Online, and Wiley Online Library. Literature was identified in February 2020. The category of publication time queried was 2005-2019. The search keywords were "misconception in physics" and "alternative conceptions in physics". All search results were collected into one database to filter if any duplicated articles. As a result, a total of 91 journal articles were obtained with details 39 in ScienceDirect, 24 in SpringerLink, 13 in Taylor &amp; Francis Online, and 15 in the Wiley Online Library. The next step was the abstract selection process, the author deleted 21 non-research articles (general review and book review) so that the remaining 70 articles were read, analyzed, and coded using a spreadsheet program.</w:t>
      </w:r>
    </w:p>
    <w:p w14:paraId="3D63A489" w14:textId="77777777" w:rsidR="00AD23CC" w:rsidRPr="00AD23CC" w:rsidRDefault="00AD23CC" w:rsidP="00AD23CC">
      <w:pPr>
        <w:spacing w:after="160" w:line="259" w:lineRule="auto"/>
        <w:rPr>
          <w:rFonts w:ascii="Calibri" w:eastAsia="Calibri" w:hAnsi="Calibri" w:cs="Arial"/>
          <w:sz w:val="22"/>
          <w:szCs w:val="22"/>
          <w:lang w:val="id-ID"/>
        </w:rPr>
      </w:pPr>
    </w:p>
    <w:p w14:paraId="32ABE31A"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Coding scheme employed</w:t>
      </w:r>
    </w:p>
    <w:p w14:paraId="0734334A"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article coding was based on a scheme adapted from a systematic approach for literature review such as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{"citationItems":[{"id":"ITEM-1","itemData":{"DOI":"10.1080/09500690802314876","ISSN":"09500693","abstract":"The present study was a follow-up to Tsai and Wen's (2005) earlier research, in which 802 articles published in the International Journal of Science Education, Science Education, and the Journal of Research in Science Teaching from 1998 to 2002 were analysed in terms of author's nationality, research type, and research topic. In the present study a total of 869 papers published in the three journals from 2003 to 2007 were analysed, and the results were compared with those of Tsai and Wen. Moreover, this study also identified 31 highly-cited papers published during 1998-2002 and 20 highly-cited papers published during 2003-2007. The results showed that authors from countries other than the four major English-speaking countries (i.e., the USA, the UK, Australia, and Canada) published an increasing number of articles in the past decade. During these five years (2003-2007), science educators showed relatively more interest in research topics involving the context of student learning. Besides, science educators have changed some of their research interests during 1998-2007, with a shift in the research topics from student conception learning and conceptual change (1998-2002) to student learning contexts (2003-2007). Moreover, the investigation of highly-cited papers in the past decade revealed that studies on argumentation have gained significant attention among science educators. © 2009 Taylor &amp; Francis.","author":[{"dropping-particle":"","family":"Lee","given":"Min‐Hsien","non-dropping-particle":"","parse-names":false,"suffix":""},{"dropping-particle":"","family":"Wu","given":"Ying‐Tien","non-dropping-particle":"","parse-names":false,"suffix":""},{"dropping-particle":"","family":"Tsai","given":"Chin‐Chung","non-dropping-particle":"","parse-names":false,"suffix":""}],"container-title":"International Journal of Science Education","id":"ITEM-1","issue":"15","issued":{"date-parts":[["2009"]]},"page":"1999-2020","title":"Research trends in science education from 2003 to 2007: A content analysis of publications in selected journals","type":"article-journal","volume":"31"},"uris":["http://www.mendeley.com/documents/?uuid=cb99fbbe-a3e0-413d-aecd-2228bf91cef2"]}],"mendeley":{"formattedCitation":"(Lee, Wu, &amp; Tsai, 2009)","manualFormatting":"Lee, Wu, &amp; Tsai (2009)","plainTextFormattedCitation":"(Lee, Wu, &amp; Tsai, 2009)","previouslyFormattedCitation":"(Lee, Wu, &amp; Tsai, 2009)"},"properties":{"noteIndex":0},"schema":"https://github.com/citation-style-language/schema/raw/master/csl-citation.json"}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Lee, Wu, &amp; Tsai (2009)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There are four main categories that the author used to understand each article in the review process, specifically:</w:t>
      </w:r>
    </w:p>
    <w:p w14:paraId="78A0655C" w14:textId="77777777" w:rsidR="00AD23CC" w:rsidRPr="00AD23CC" w:rsidRDefault="00AD23CC" w:rsidP="00AD23CC">
      <w:pPr>
        <w:numPr>
          <w:ilvl w:val="0"/>
          <w:numId w:val="7"/>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lastRenderedPageBreak/>
        <w:t>basic data: author, publication year, journal, research location</w:t>
      </w:r>
    </w:p>
    <w:p w14:paraId="3C5D8590" w14:textId="77777777" w:rsidR="00AD23CC" w:rsidRPr="00AD23CC" w:rsidRDefault="00AD23CC" w:rsidP="00AD23CC">
      <w:pPr>
        <w:numPr>
          <w:ilvl w:val="0"/>
          <w:numId w:val="7"/>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research methodology: research approaches, methods, research objects, data collection instruments, analytical methods, and research results</w:t>
      </w:r>
    </w:p>
    <w:p w14:paraId="6AD9CAFD" w14:textId="77777777" w:rsidR="00AD23CC" w:rsidRPr="00AD23CC" w:rsidRDefault="00AD23CC" w:rsidP="00AD23CC">
      <w:pPr>
        <w:numPr>
          <w:ilvl w:val="0"/>
          <w:numId w:val="7"/>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content analysis: how to diagnose misconceptions, causes of misconceptions, and the process of remediation or elimination of misconceptions</w:t>
      </w:r>
    </w:p>
    <w:p w14:paraId="404D3868" w14:textId="77777777" w:rsidR="00AD23CC" w:rsidRPr="00AD23CC" w:rsidRDefault="00AD23CC" w:rsidP="00AD23CC">
      <w:pPr>
        <w:numPr>
          <w:ilvl w:val="0"/>
          <w:numId w:val="7"/>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 xml:space="preserve">discussion: the issues discussed, the projected development of the problem, and the author's comments. </w:t>
      </w:r>
    </w:p>
    <w:p w14:paraId="6D79C838"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Based on these four categories, the author was able to viewed and outlined clearly about trends (trends), problems that arise, and future research directions. The coding scheme was compiled in the form that supports the literature review process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{"citationItems":[{"id":"ITEM-1","itemData":{"author":[{"dropping-particle":"","family":"Prasad","given":"B. Devi","non-dropping-particle":"","parse-names":false,"suffix":""}],"chapter-number":"10","container-title":"Research Methods for Social Work","editor":[{"dropping-particle":"","family":"Das","given":"D. K. Lal","non-dropping-particle":"","parse-names":false,"suffix":""},{"dropping-particle":"","family":"Bhaskaran","given":"V.","non-dropping-particle":"","parse-names":false,"suffix":""}],"id":"ITEM-1","issued":{"date-parts":[["2008"]]},"page":"173-193","publisher":"Rawat Publications","publisher-place":"New Delhi","title":"Content Analysis: A Method in Social Science Research","type":"chapter"},"uris":["http://www.mendeley.com/documents/?uuid=fa5e6603-109f-4d55-9b04-1ccbc138cc78"]}],"mendeley":{"formattedCitation":"(Prasad, 2008)","plainTextFormattedCitation":"(Prasad, 2008)","previouslyFormattedCitation":"(Prasad,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(Prasad,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7402EF65" w14:textId="77777777" w:rsidR="00AD23CC" w:rsidRPr="00AD23CC" w:rsidRDefault="00AD23CC" w:rsidP="00AD23CC">
      <w:pPr>
        <w:spacing w:after="160" w:line="259" w:lineRule="auto"/>
        <w:rPr>
          <w:rFonts w:ascii="Calibri" w:eastAsia="Calibri" w:hAnsi="Calibri" w:cs="Arial"/>
          <w:sz w:val="22"/>
          <w:szCs w:val="22"/>
          <w:lang w:val="id-ID"/>
        </w:rPr>
      </w:pPr>
    </w:p>
    <w:p w14:paraId="2FA6FAFD"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Findings of this review</w:t>
      </w:r>
    </w:p>
    <w:p w14:paraId="33F79B25" w14:textId="77777777" w:rsidR="00AD23CC" w:rsidRPr="00AD23CC" w:rsidRDefault="00AD23CC" w:rsidP="00AD23CC">
      <w:pPr>
        <w:tabs>
          <w:tab w:val="left" w:pos="1470"/>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Of the 70 articles that were reviewed in this study, the largest number was published in 2014 (14%). Over the last five years, from 2014 to 2019, an addition had occurred in the number of articles about physics misconceptions. There was a decline in 2016 and 2018 during that period, but it increased sharply again in 2019. In detail, the number of publications data are shown in Figure 1. Based on that data, misconceptions are still very exciting for educational researchers.</w:t>
      </w:r>
      <w:r w:rsidRPr="00AD23CC">
        <w:rPr>
          <w:rFonts w:ascii="Calibri" w:eastAsia="Calibri" w:hAnsi="Calibri" w:cs="Arial"/>
          <w:sz w:val="22"/>
          <w:szCs w:val="22"/>
          <w:lang w:val="id-ID"/>
        </w:rPr>
        <w:tab/>
      </w:r>
    </w:p>
    <w:p w14:paraId="3D07AF1C"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drawing>
          <wp:inline distT="0" distB="0" distL="0" distR="0" wp14:anchorId="035B6757" wp14:editId="6498344B">
            <wp:extent cx="5724525" cy="227784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3498" cy="2293351"/>
                    </a:xfrm>
                    <a:prstGeom prst="rect">
                      <a:avLst/>
                    </a:prstGeom>
                    <a:noFill/>
                  </pic:spPr>
                </pic:pic>
              </a:graphicData>
            </a:graphic>
          </wp:inline>
        </w:drawing>
      </w:r>
    </w:p>
    <w:p w14:paraId="6AD5A8C0"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1. Percentages of studies about misconception across years (2005-2019).</w:t>
      </w:r>
    </w:p>
    <w:p w14:paraId="21B7B6F4" w14:textId="77777777" w:rsidR="00AD23CC" w:rsidRPr="00AD23CC" w:rsidRDefault="00AD23CC" w:rsidP="00AD23CC">
      <w:pPr>
        <w:spacing w:after="160" w:line="259" w:lineRule="auto"/>
        <w:rPr>
          <w:rFonts w:ascii="Calibri" w:eastAsia="Calibri" w:hAnsi="Calibri" w:cs="Arial"/>
          <w:noProof/>
          <w:sz w:val="22"/>
          <w:szCs w:val="22"/>
          <w:lang w:val="id-ID"/>
        </w:rPr>
      </w:pPr>
    </w:p>
    <w:p w14:paraId="1FF26305"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lastRenderedPageBreak/>
        <w:drawing>
          <wp:inline distT="0" distB="0" distL="0" distR="0" wp14:anchorId="3E1B0A39" wp14:editId="2E63F28B">
            <wp:extent cx="5439479" cy="246888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8150"/>
                    <a:stretch/>
                  </pic:blipFill>
                  <pic:spPr bwMode="auto">
                    <a:xfrm>
                      <a:off x="0" y="0"/>
                      <a:ext cx="5482344" cy="2488336"/>
                    </a:xfrm>
                    <a:prstGeom prst="rect">
                      <a:avLst/>
                    </a:prstGeom>
                    <a:noFill/>
                    <a:ln>
                      <a:noFill/>
                    </a:ln>
                    <a:extLst>
                      <a:ext uri="{53640926-AAD7-44D8-BBD7-CCE9431645EC}">
                        <a14:shadowObscured xmlns:a14="http://schemas.microsoft.com/office/drawing/2010/main"/>
                      </a:ext>
                    </a:extLst>
                  </pic:spPr>
                </pic:pic>
              </a:graphicData>
            </a:graphic>
          </wp:inline>
        </w:drawing>
      </w:r>
    </w:p>
    <w:p w14:paraId="30CD6905"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2. Purposes of the overall studies.</w:t>
      </w:r>
    </w:p>
    <w:p w14:paraId="5342B31E" w14:textId="77777777" w:rsidR="00AD23CC" w:rsidRPr="00AD23CC" w:rsidRDefault="00AD23CC" w:rsidP="00AD23CC">
      <w:pPr>
        <w:spacing w:after="160" w:line="259" w:lineRule="auto"/>
        <w:rPr>
          <w:rFonts w:ascii="Calibri" w:eastAsia="Calibri" w:hAnsi="Calibri" w:cs="Arial"/>
          <w:sz w:val="22"/>
          <w:szCs w:val="22"/>
          <w:lang w:val="id-ID"/>
        </w:rPr>
      </w:pPr>
    </w:p>
    <w:p w14:paraId="40DE589F" w14:textId="77777777" w:rsidR="00AD23CC" w:rsidRPr="00AD23CC" w:rsidRDefault="00AD23CC" w:rsidP="00AD23CC">
      <w:pPr>
        <w:spacing w:after="160" w:line="259" w:lineRule="auto"/>
        <w:rPr>
          <w:rFonts w:ascii="Calibri" w:eastAsia="Calibri" w:hAnsi="Calibri" w:cs="Arial"/>
          <w:noProof/>
          <w:sz w:val="22"/>
          <w:szCs w:val="22"/>
          <w:lang w:val="id-ID"/>
        </w:rPr>
      </w:pPr>
      <w:r w:rsidRPr="00AD23CC">
        <w:rPr>
          <w:rFonts w:ascii="Calibri" w:eastAsia="Calibri" w:hAnsi="Calibri" w:cs="Arial"/>
          <w:noProof/>
          <w:sz w:val="22"/>
          <w:szCs w:val="22"/>
          <w:lang w:val="id-ID"/>
        </w:rPr>
        <w:t>There are five research purposes of the articles as a result of this study, including diagnosing misconceptions, investigating cognitive structures, developing diagnostic tests, determining causes of misconception, and treating misconceptions (remediation). Most of the articles have the aim to diagnose misconceptions and carry out the treatment of misconceptions (remediation of misconceptions). Each of the two objectives is spread over 36% of articles or 25 articles, as shown in Figure 2. The remediation process of misconception is carried out through eight methods in learning, particularly simulation-based experiments, conceptual change texts, inquiry-based learning, multimedia instruction, collaborative learning, laboratory experiments, and concept mapping. The simulation-based experiment is the most widely used method in the remediation process. The number of each method used for remediation of misconceptions is shown in Figure 3.</w:t>
      </w:r>
    </w:p>
    <w:p w14:paraId="2CFA939F" w14:textId="77777777" w:rsidR="00AD23CC" w:rsidRPr="00AD23CC" w:rsidRDefault="00AD23CC" w:rsidP="00AD23CC">
      <w:pPr>
        <w:spacing w:after="160" w:line="259" w:lineRule="auto"/>
        <w:rPr>
          <w:rFonts w:ascii="Calibri" w:eastAsia="Calibri" w:hAnsi="Calibri" w:cs="Arial"/>
          <w:sz w:val="22"/>
          <w:szCs w:val="22"/>
          <w:lang w:val="id-ID"/>
        </w:rPr>
      </w:pPr>
    </w:p>
    <w:p w14:paraId="23FDF5A8"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drawing>
          <wp:inline distT="0" distB="0" distL="0" distR="0" wp14:anchorId="4B5C7D10" wp14:editId="36369BFD">
            <wp:extent cx="5432946" cy="268123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74051" cy="2701520"/>
                    </a:xfrm>
                    <a:prstGeom prst="rect">
                      <a:avLst/>
                    </a:prstGeom>
                    <a:noFill/>
                  </pic:spPr>
                </pic:pic>
              </a:graphicData>
            </a:graphic>
          </wp:inline>
        </w:drawing>
      </w:r>
    </w:p>
    <w:p w14:paraId="60C5FF0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3. Any treatment methods have used for remediating misconceptions.</w:t>
      </w:r>
    </w:p>
    <w:p w14:paraId="26D596F2" w14:textId="77777777" w:rsidR="00AD23CC" w:rsidRPr="00AD23CC" w:rsidRDefault="00AD23CC" w:rsidP="00AD23CC">
      <w:pPr>
        <w:spacing w:after="160" w:line="259" w:lineRule="auto"/>
        <w:rPr>
          <w:rFonts w:ascii="Calibri" w:eastAsia="Calibri" w:hAnsi="Calibri" w:cs="Arial"/>
          <w:sz w:val="22"/>
          <w:szCs w:val="22"/>
          <w:lang w:val="id-ID"/>
        </w:rPr>
      </w:pPr>
    </w:p>
    <w:p w14:paraId="6B0C8EDD"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lastRenderedPageBreak/>
        <w:drawing>
          <wp:inline distT="0" distB="0" distL="0" distR="0" wp14:anchorId="680B1632" wp14:editId="0C5F5B7A">
            <wp:extent cx="5629910" cy="2702107"/>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45765" cy="2709717"/>
                    </a:xfrm>
                    <a:prstGeom prst="rect">
                      <a:avLst/>
                    </a:prstGeom>
                    <a:noFill/>
                  </pic:spPr>
                </pic:pic>
              </a:graphicData>
            </a:graphic>
          </wp:inline>
        </w:drawing>
      </w:r>
    </w:p>
    <w:p w14:paraId="5BD1A30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4. Tools for diagnosing the misconception.</w:t>
      </w:r>
    </w:p>
    <w:p w14:paraId="14682F5E" w14:textId="77777777" w:rsidR="00AD23CC" w:rsidRPr="00AD23CC" w:rsidRDefault="00AD23CC" w:rsidP="00AD23CC">
      <w:pPr>
        <w:spacing w:after="160" w:line="259" w:lineRule="auto"/>
        <w:rPr>
          <w:rFonts w:ascii="Calibri" w:eastAsia="Calibri" w:hAnsi="Calibri" w:cs="Arial"/>
          <w:sz w:val="22"/>
          <w:szCs w:val="22"/>
          <w:lang w:val="id-ID"/>
        </w:rPr>
      </w:pPr>
    </w:p>
    <w:p w14:paraId="7BEDEB3B"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Diagnostic tools become a principal component for investigating student's conceptions in several physics concepts. Based on this review, there are six types of diagnostic tools used, namely interviews, open-ended tests, multiple-choice tests, two-tier tests, three-tier tests, and four-tier tests. The researchers also used sequential tests, i.e. multiple-choice tests followed by open-ended tests (sequence 1), multiple-choice tests followed by interviews (sequence 2), open-ended tests followed by interviews (sequence 3), and interviews continued observations (sequence 4). Open-ended tests are the most widely used tools in 20% of articles, followed by multiple-choice tests in 20% of articles as shown in Figure 4.</w:t>
      </w:r>
    </w:p>
    <w:p w14:paraId="71663E93" w14:textId="77777777" w:rsidR="00AD23CC" w:rsidRPr="00AD23CC" w:rsidRDefault="00AD23CC" w:rsidP="00AD23CC">
      <w:pPr>
        <w:spacing w:after="160" w:line="259" w:lineRule="auto"/>
        <w:rPr>
          <w:rFonts w:ascii="Calibri" w:eastAsia="Calibri" w:hAnsi="Calibri" w:cs="Arial"/>
          <w:sz w:val="22"/>
          <w:szCs w:val="22"/>
          <w:lang w:val="id-ID"/>
        </w:rPr>
      </w:pPr>
    </w:p>
    <w:p w14:paraId="7A7B8F40"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The research approaches used in the articles are categorized into three types: qualitative, quantitative, and mixed methods. This review, visualized in Figure 5, shows that 41% use qualitative, 40% quantitative, and only 19% use mixed methods. Most articles use descriptive techniques to diagnose misconceptions and inferential statistics to test the effectiveness of the treatments performed.</w:t>
      </w:r>
    </w:p>
    <w:p w14:paraId="71338235" w14:textId="77777777" w:rsidR="00AD23CC" w:rsidRPr="00AD23CC" w:rsidRDefault="00AD23CC" w:rsidP="00AD23CC">
      <w:pPr>
        <w:spacing w:after="160" w:line="259" w:lineRule="auto"/>
        <w:rPr>
          <w:rFonts w:ascii="Calibri" w:eastAsia="Calibri" w:hAnsi="Calibri" w:cs="Arial"/>
          <w:sz w:val="22"/>
          <w:szCs w:val="22"/>
          <w:lang w:val="id-ID"/>
        </w:rPr>
      </w:pPr>
    </w:p>
    <w:p w14:paraId="6017241D"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drawing>
          <wp:inline distT="0" distB="0" distL="0" distR="0" wp14:anchorId="41450C98" wp14:editId="110102AE">
            <wp:extent cx="5430454" cy="2291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9506" b="10032"/>
                    <a:stretch/>
                  </pic:blipFill>
                  <pic:spPr bwMode="auto">
                    <a:xfrm>
                      <a:off x="0" y="0"/>
                      <a:ext cx="5464647" cy="2305792"/>
                    </a:xfrm>
                    <a:prstGeom prst="rect">
                      <a:avLst/>
                    </a:prstGeom>
                    <a:noFill/>
                    <a:ln>
                      <a:noFill/>
                    </a:ln>
                    <a:extLst>
                      <a:ext uri="{53640926-AAD7-44D8-BBD7-CCE9431645EC}">
                        <a14:shadowObscured xmlns:a14="http://schemas.microsoft.com/office/drawing/2010/main"/>
                      </a:ext>
                    </a:extLst>
                  </pic:spPr>
                </pic:pic>
              </a:graphicData>
            </a:graphic>
          </wp:inline>
        </w:drawing>
      </w:r>
    </w:p>
    <w:p w14:paraId="72D145EC"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lastRenderedPageBreak/>
        <w:t>Figure 5. The research methodology of misconception studies.</w:t>
      </w:r>
    </w:p>
    <w:p w14:paraId="61746352" w14:textId="77777777" w:rsidR="00AD23CC" w:rsidRPr="00AD23CC" w:rsidRDefault="00AD23CC" w:rsidP="00AD23CC">
      <w:pPr>
        <w:spacing w:after="160" w:line="259" w:lineRule="auto"/>
        <w:rPr>
          <w:rFonts w:ascii="Calibri" w:eastAsia="Calibri" w:hAnsi="Calibri" w:cs="Arial"/>
          <w:sz w:val="22"/>
          <w:szCs w:val="22"/>
          <w:lang w:val="id-ID"/>
        </w:rPr>
      </w:pPr>
    </w:p>
    <w:p w14:paraId="491332E8"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Various participants are part of the research in the articles that have been reviewed. Participants are categorized into five types: undergraduate students, high school students, elementary school students, pre-service teachers, and in-service teachers. All of the participants (Figure 6) form a chain of misconceptions. That is, misconceptions may occur at one level of education that can continue to be carried at a higher level of education, even when becoming a teacher. Further analysis will be reviewed in the discussion section on causes of misconceptions.</w:t>
      </w:r>
    </w:p>
    <w:p w14:paraId="0094BA43"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drawing>
          <wp:inline distT="0" distB="0" distL="0" distR="0" wp14:anchorId="6ED0906B" wp14:editId="52415673">
            <wp:extent cx="5363570" cy="280776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tretch>
                      <a:fillRect/>
                    </a:stretch>
                  </pic:blipFill>
                  <pic:spPr>
                    <a:xfrm>
                      <a:off x="0" y="0"/>
                      <a:ext cx="5393552" cy="2823458"/>
                    </a:xfrm>
                    <a:prstGeom prst="rect">
                      <a:avLst/>
                    </a:prstGeom>
                  </pic:spPr>
                </pic:pic>
              </a:graphicData>
            </a:graphic>
          </wp:inline>
        </w:drawing>
      </w:r>
    </w:p>
    <w:p w14:paraId="64BA56DB"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6. The participants on overall study.</w:t>
      </w:r>
    </w:p>
    <w:p w14:paraId="5BA30A71"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noProof/>
          <w:sz w:val="22"/>
          <w:szCs w:val="22"/>
          <w:lang w:val="id-ID"/>
        </w:rPr>
        <w:lastRenderedPageBreak/>
        <w:drawing>
          <wp:inline distT="0" distB="0" distL="0" distR="0" wp14:anchorId="2F9E641A" wp14:editId="6A73099E">
            <wp:extent cx="4517409" cy="39114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64143" cy="3951933"/>
                    </a:xfrm>
                    <a:prstGeom prst="rect">
                      <a:avLst/>
                    </a:prstGeom>
                    <a:noFill/>
                  </pic:spPr>
                </pic:pic>
              </a:graphicData>
            </a:graphic>
          </wp:inline>
        </w:drawing>
      </w:r>
    </w:p>
    <w:p w14:paraId="18D47229"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7. Any topics have analyzed on overall studies.</w:t>
      </w:r>
    </w:p>
    <w:p w14:paraId="292C51F5" w14:textId="77777777" w:rsidR="00AD23CC" w:rsidRPr="00AD23CC" w:rsidRDefault="00AD23CC" w:rsidP="00AD23CC">
      <w:pPr>
        <w:spacing w:after="160" w:line="259" w:lineRule="auto"/>
        <w:rPr>
          <w:rFonts w:ascii="Calibri" w:eastAsia="Calibri" w:hAnsi="Calibri" w:cs="Arial"/>
          <w:sz w:val="22"/>
          <w:szCs w:val="22"/>
          <w:lang w:val="id-ID"/>
        </w:rPr>
      </w:pPr>
    </w:p>
    <w:p w14:paraId="2450ED49"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Figure 7 shows the distribution of physics topics analyzed in articles across the year. Physics topics broadly consist of the following areas: mechanics, oscillations and mechanical waves, thermodynamics, electricity and magnetism, light and optics, modern physics, earth and space. These topics can be separated into several subtopics. Each article exposes misconceptions on topics or subtopics in physics. The most popular subtopic as an object of research is force and motion misconception (18 articels) and followed by direct-current circuits (12 articles). Many subtopics have not been explored in physics misconception research.</w:t>
      </w:r>
    </w:p>
    <w:p w14:paraId="4FABD5B9" w14:textId="77777777" w:rsidR="00AD23CC" w:rsidRPr="00AD23CC" w:rsidRDefault="00AD23CC" w:rsidP="00AD23CC">
      <w:pPr>
        <w:spacing w:after="160" w:line="259" w:lineRule="auto"/>
        <w:rPr>
          <w:rFonts w:ascii="Calibri" w:eastAsia="Calibri" w:hAnsi="Calibri" w:cs="Arial"/>
          <w:sz w:val="22"/>
          <w:szCs w:val="22"/>
          <w:lang w:val="id-ID"/>
        </w:rPr>
      </w:pPr>
    </w:p>
    <w:p w14:paraId="0E32E9A2"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b/>
          <w:bCs/>
          <w:sz w:val="22"/>
          <w:szCs w:val="22"/>
          <w:lang w:val="id-ID"/>
        </w:rPr>
        <w:t>Discussion</w:t>
      </w:r>
    </w:p>
    <w:p w14:paraId="5239B402"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analysis results of the articles give insights related to international studies of misconceptions in physics over the last fifteen years (2005-2019). Our purposes are exposed to diagnostic tools and remediation strategies for misconceptions, as well as found out the causes of these misconceptions. During the investigation, we obtained facts about research trends, research purposes, research methodology, and the participants in each article. Two other studies conducted a review and served as references in the following discussion.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{"citationItems":[{"id":"ITEM-1","itemData":{"DOI":"10.1080/00219266.2018.1490798","ISSN":"21576009","abstract":"Teachers need to be aware of biology misconceptions in their classrooms and how to address them. In response, researchers and science educators have suggested and examined effective practices to prevent and ameliorate misconceptions. An extensive review of the literature gives researchers and educators insights into trends, practices, and gaps in the misconceptions research and helps decide which issues to address and why. The current study shares how researchers in Turkey conduct a content analysis of published misconception research in Turkey by using a form. The analysis resulted in a meta-synthesis (thematic content analysis) that inventoried and compared the purposes, research methods, data collection instruments, and findings of the selected publications. Biology educators in other regions of the world can inform their practice by using this instrument and research methods to learn about trends and patterns in misconception research. Researchers will gain insights into effective methods that have been used to examine misconceptions and will be able to identify biology misconceptions that have been under-investigated and need further analysis.","author":[{"dropping-particle":"","family":"Kumandaş","given":"Bahar","non-dropping-particle":"","parse-names":false,"suffix":""},{"dropping-particle":"","family":"Ateskan","given":"Armagan","non-dropping-particle":"","parse-names":false,"suffix":""},{"dropping-particle":"","family":"Lane","given":"Jennie","non-dropping-particle":"","parse-names":false,"suffix":""}],"container-title":"Journal of Biological Education","id":"ITEM-1","issue":"4","issued":{"date-parts":[["2019"]]},"page":"350-364","publisher":"Routledge","title":"Misconceptions in biology: a meta-synthesis study of research, 2000–2014","type":"article-journal","volume":"53"},"uris":["http://www.mendeley.com/documents/?uuid=c3193033-9330-41fb-aff0-5126a616b9b6"]}],"mendeley":{"formattedCitation":"(Kumandaş, Ateskan, &amp; Lane, 2019)","manualFormatting":"Kumandaş et al. (2019)","plainTextFormattedCitation":"(Kumandaş, Ateskan, &amp; Lane, 2019)","previouslyFormattedCitation":"(Kumandaş, Ateskan, &amp; Lane,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Kumandaş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addressed misconceptions in biology and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Eryilmaz, &amp; McDermott, 2015)","manualFormatting":"Gurel et al. (2015)","plainTextFormattedCitation":"(Kaltakci-Gurel, Eryilmaz, &amp; McDermott, 2015)","previouslyFormattedCitation":"(Kaltakci-Gurel, Eryilmaz, &amp; McDermott,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addressed the comparison of instruments for the diagnosis of misconceptions in science. Both studies provided additional insights for discussing physics misconceptions in this study.</w:t>
      </w:r>
    </w:p>
    <w:p w14:paraId="0ABB877F" w14:textId="77777777" w:rsidR="00AD23CC" w:rsidRPr="00AD23CC" w:rsidRDefault="00AD23CC" w:rsidP="00AD23CC">
      <w:pPr>
        <w:spacing w:after="160" w:line="259" w:lineRule="auto"/>
        <w:rPr>
          <w:rFonts w:ascii="Calibri" w:eastAsia="Calibri" w:hAnsi="Calibri" w:cs="Arial"/>
          <w:sz w:val="22"/>
          <w:szCs w:val="22"/>
          <w:lang w:val="id-ID"/>
        </w:rPr>
      </w:pPr>
    </w:p>
    <w:p w14:paraId="5749D3A6" w14:textId="77777777" w:rsidR="00AD23CC" w:rsidRPr="00AD23CC" w:rsidRDefault="00AD23CC" w:rsidP="00AD23CC">
      <w:pPr>
        <w:spacing w:after="160" w:line="259" w:lineRule="auto"/>
        <w:rPr>
          <w:rFonts w:ascii="Calibri" w:eastAsia="Calibri" w:hAnsi="Calibri" w:cs="Arial"/>
          <w:b/>
          <w:bCs/>
          <w:i/>
          <w:iCs/>
          <w:sz w:val="22"/>
          <w:szCs w:val="22"/>
          <w:lang w:val="id-ID"/>
        </w:rPr>
      </w:pPr>
      <w:r w:rsidRPr="00AD23CC">
        <w:rPr>
          <w:rFonts w:ascii="Calibri" w:eastAsia="Calibri" w:hAnsi="Calibri" w:cs="Arial"/>
          <w:b/>
          <w:bCs/>
          <w:i/>
          <w:iCs/>
          <w:sz w:val="22"/>
          <w:szCs w:val="22"/>
          <w:lang w:val="id-ID"/>
        </w:rPr>
        <w:t>Research purposes across years</w:t>
      </w:r>
    </w:p>
    <w:p w14:paraId="46497034"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lastRenderedPageBreak/>
        <w:t xml:space="preserve">Most of the articles in this study (36%) have the purpose to identify or diagnose misconceptions in physics. Most diagnoses were made into undergraduate students (32%) and pre-service teachers (28%). Diagnosis is needed to raise awareness about the existence of misconceptions regarding the students of higher education and the pre-service teachers. The needs of diagnostic tools have been supported by studies that have developed diagnostic tests for misconceptions (10%).  The result of instruments can be adapted to diagnose misconceptions according to the topics. Among the diagnostic tests that have developed are multiple-choice tests and multiple-tier tests (two-tier, three-tier, and four-tier). Each of those instruments has different characteristics and is discussed in a separate sub discussion. The diagnosis of misconceptions becomes the initial round of an educator in learning to build scientific 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{"citationItems":[{"id":"ITEM-1","itemData":{"DOI":"10.12973/tused.10268a","author":[{"dropping-particle":"","family":"Topalsan","given":"Ayşegül Kınık","non-dropping-particle":"","parse-names":false,"suffix":""},{"dropping-particle":"","family":"Bayram","given":"Hale","non-dropping-particle":"","parse-names":false,"suffix":""}],"container-title":"Journal of Turkish Science Education","id":"ITEM-1","issue":"1","issued":{"date-parts":[["2019"]]},"page":"85-108","title":"Identifying Prospective Primary School Teachers’ Ontologically Categorized Misconceptions on the Topic of \"Force and Motion\"","type":"article-journal","volume":"16"},"uris":["http://www.mendeley.com/documents/?uuid=0c0775ac-7437-4750-b8cf-5dd25b6b5933"]},{"id":"ITEM-2","itemData":{"DOI":"10.1002/sce.21172","author":[{"dropping-particle":"","family":"Wind","given":"Stefanie A","non-dropping-particle":"","parse-names":false,"suffix":""},{"dropping-particle":"","family":"Gale","given":"Jessica D","non-dropping-particle":"","parse-names":false,"suffix":""}],"container-title":"Science Education","id":"ITEM-2","issue":"4","issued":{"date-parts":[["2015"]]},"page":"721-741","title":"Diagnostic Opportunities Using Rasch Measurement in the Context of a Misconceptions‐Based Physical Science Assessment","type":"article-journal","volume":"99"},"uris":["http://www.mendeley.com/documents/?uuid=c212493c-b363-455c-8b10-b95da7649604"]},{"id":"ITEM-3","itemData":{"ISBN":"9789463009393","author":[{"dropping-particle":"","family":"Seel","given":"Norbert M.","non-dropping-particle":"","parse-names":false,"suffix":""},{"dropping-particle":"","family":"Lehmann","given":"Thomas","non-dropping-particle":"","parse-names":false,"suffix":""},{"dropping-particle":"","family":"Blumschein","given":"Patrick","non-dropping-particle":"","parse-names":false,"suffix":""},{"dropping-particle":"","family":"Podolskiy","given":"Oleg A.","non-dropping-particle":"","parse-names":false,"suffix":""}],"id":"ITEM-3","issued":{"date-parts":[["2017"]]},"number-of-pages":"250","publisher":"Sense Publishers","publisher-place":"Rotterdam","title":"Instructional Design for Learning","type":"book"},"uris":["http://www.mendeley.com/documents/?uuid=a63ce1ad-1b76-4b8d-aa7d-63857a37e227"]},{"id":"ITEM-4","itemData":{"ISBN":"9781292041025","author":[{"dropping-particle":"","family":"Nitko","given":"Anthony J","non-dropping-particle":"","parse-names":false,"suffix":""},{"dropping-particle":"","family":"Brookhart","given":"Susan M","non-dropping-particle":"","parse-names":false,"suffix":""}],"id":"ITEM-4","issued":{"date-parts":[["2014"]]},"publisher":"Pearson Education Limited","publisher-place":"London","title":"Educational Assessment of Students","type":"book"},"uris":["http://www.mendeley.com/documents/?uuid=95a59548-05e2-426a-bee5-5af2058ef342"]}],"mendeley":{"formattedCitation":"(Nitko &amp; Brookhart, 2014; Seel, Lehmann, Blumschein, &amp; Podolskiy, 2017; Topalsan &amp; Bayram, 2019; Wind &amp; Gale, 2015)","manualFormatting":"(Nitko &amp; Brookhart, 2014; Seel et al., 2017; Topalsan &amp; Bayram, 2019; Wind &amp; Gale, 2015)","plainTextFormattedCitation":"(Nitko &amp; Brookhart, 2014; Seel, Lehmann, Blumschein, &amp; Podolskiy, 2017; Topalsan &amp; Bayram, 2019; Wind &amp; Gale, 2015)","previouslyFormattedCitation":"(Nitko &amp; Brookhart, 2014; Seel, Lehmann, Blumschein, &amp; Podolskiy, 2017; Topalsan &amp; Bayram, 2019; Wind &amp; Gale,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(Nitko &amp; Brookhart, 2014; Seel et al., 2017; Topalsan &amp; Bayram, 2019; Wind &amp; Gale,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accumulation of the not understood concepts from elementary education to higher education plus daily experiences can trigger misconceptions. Misconceptions can be brought by students from elementary school until they studied at university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{"citationItems":[{"id":"ITEM-1","itemData":{"DOI":"10.1007/s10956-007-9083-1","ISSN":"10590145","abstract":"The aims of this study were considered under three headings. The first was to elicit misconception that science and physics student teachers (pre-service teachers) had about the terms, ''inertial mass'', ''gravitational mass'', ''gravity'', ''gravitational force'' and \"weight\". The second was to understand how prior learning affected their misconceptions, and whether teachers' misconceptions affected their students' learning. The third was to determine the differences between science and physics student teachers' understanding levels related to mass and gravity, and between their logical thinking ability levels and their attitudes toward physics lessons. A total of 267 science and physics student teachers participated in the study. Data collection instruments included the physics concept test, the logical thinking ability test and physics attitude scale. All instruments were administered to the participants at the end of the 3rd semester of their university years. The physics test consisting of paper and pencil test involving 16 questions was designed, but only four questions were related to mass and gravity; the second test consisted of 10 questions with two stages. The third test however, consisted of 15 likert type items. As a result of the analysis undertaken, it was found that student teachers had serious misconceptions about inertia, gravity, gravitational acceleration, gravitational force and weight concepts. The results also revealed that student teachers generally had positive attitudes toward physics lessons, and their logical thinking level was fairly good. © 2007 Springer Science+Business Media, LLC.","author":[{"dropping-particle":"","family":"Gönen","given":"Selahattin","non-dropping-particle":"","parse-names":false,"suffix":""}],"container-title":"Journal of Science Education and Technology","id":"ITEM-1","issue":"1","issued":{"date-parts":[["2008"]]},"page":"70-81","title":"A study on student teachers' Misconceptions and scientifically acceptable conceptions about mass and gravity","type":"article-journal","volume":"17"},"uris":["http://www.mendeley.com/documents/?uuid=267ce6f6-ad77-4a7d-81f6-26901ec48c9a"]},{"id":"ITEM-2","itemData":{"DOI":"10.1002/tea.21396","ISSN":"10982736","abstract":"While the majority of published research on conceptual change has focused on how misconceptions can be abandoned or modified, some recent research findings support the hypothesis that acquired scientific knowledge does not necessarily erase or alter initial non-scientific knowledge but rather coexists with it. In keeping with this “coexistence claim,” this article presents an analysis of scientific understanding in four groups of individuals with varying degrees of expertise (preschoolers, elementary students, secondary students, and science teachers) using a cognitive task on buoyancy. This task allowed us to determine the prevalence of certain conceptions and the interference caused by two possible conceptual distractors with regard to producing accurate answers. Results describe the progression of the desired (scientific) conception with age/expertise as well as the evolution or regression of the statuses of two misconceptions. Results also show that misconceptions continue to interfere with performance even when there is a higher degree of scientific expertise, and that patterns of such interference can be studied. In keeping with these conclusions, we argue for the use of a model of conceptual learning called “conceptual prevalence.” © 2017 The Authors. Journal of Research in Science Teaching Published by Wiley Periodicals, Inc. J Res Sci Teach 54:1121–1142, 2017.","author":[{"dropping-particle":"","family":"Potvin","given":"Patrice","non-dropping-particle":"","parse-names":false,"suffix":""},{"dropping-particle":"","family":"Cyr","given":"Guillaume","non-dropping-particle":"","parse-names":false,"suffix":""}],"container-title":"Journal of Research in Science Teaching","id":"ITEM-2","issue":"9","issued":{"date-parts":[["2017"]]},"page":"1121-1142","title":"Toward a durable prevalence of scientific conceptions: Tracking the effects of two interfering misconceptions about buoyancy from preschoolers to science teachers","type":"article-journal","volume":"54"},"uris":["http://www.mendeley.com/documents/?uuid=5eb33701-c5f9-4dc0-8357-2c99016b490b"]}],"mendeley":{"formattedCitation":"(Gönen, 2008; Potvin &amp; Cyr, 2017)","plainTextFormattedCitation":"(Gönen, 2008; Potvin &amp; Cyr, 2017)","previouslyFormattedCitation":"(Gönen, 2008; Potvin &amp; Cyr,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(Gönen, 2008; Potvin &amp; Cyr,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remediation of misconceptions needs to be performed before the undergraduate students and the pre-service teachers enroll in a professional career with the provision of 21</w:t>
      </w:r>
      <w:r w:rsidRPr="00AD23CC">
        <w:rPr>
          <w:rFonts w:ascii="Calibri" w:eastAsia="Calibri" w:hAnsi="Calibri" w:cs="Arial"/>
          <w:sz w:val="22"/>
          <w:szCs w:val="22"/>
          <w:vertAlign w:val="superscript"/>
          <w:lang w:val="id-ID"/>
        </w:rPr>
        <w:t>st</w:t>
      </w:r>
      <w:r w:rsidRPr="00AD23CC">
        <w:rPr>
          <w:rFonts w:ascii="Calibri" w:eastAsia="Calibri" w:hAnsi="Calibri" w:cs="Arial"/>
          <w:sz w:val="22"/>
          <w:szCs w:val="22"/>
          <w:lang w:val="id-ID"/>
        </w:rPr>
        <w:t xml:space="preserve">-century learning competencies. </w:t>
      </w:r>
    </w:p>
    <w:p w14:paraId="0A62601F" w14:textId="77777777" w:rsidR="00AD23CC" w:rsidRPr="00AD23CC" w:rsidRDefault="00AD23CC" w:rsidP="00AD23CC">
      <w:pPr>
        <w:spacing w:after="160" w:line="259" w:lineRule="auto"/>
        <w:rPr>
          <w:rFonts w:ascii="Calibri" w:eastAsia="Calibri" w:hAnsi="Calibri" w:cs="Arial"/>
          <w:sz w:val="22"/>
          <w:szCs w:val="22"/>
          <w:lang w:val="id-ID"/>
        </w:rPr>
      </w:pPr>
    </w:p>
    <w:p w14:paraId="7B0E47F2"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Most of the objectives (36%) of the articles in this study are to determine the effective remediation strategies for developing scientific conceptions. The effectiveness were determined by comparing misconceptions before and after the learning process. Misconceptions identification is an important part of remediation because it helps teachers to plan learning strategies accordingly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{"citationItems":[{"id":"ITEM-1","itemData":{"ISBN":"0750678372","author":[{"dropping-particle":"","family":"Knowles","given":"Malcolm S.","non-dropping-particle":"","parse-names":false,"suffix":""},{"dropping-particle":"","family":"Holton","given":"Elwood F.","non-dropping-particle":"","parse-names":false,"suffix":""},{"dropping-particle":"","family":"Swanson","given":"Richard A.","non-dropping-particle":"","parse-names":false,"suffix":""}],"edition":"6th","id":"ITEM-1","issued":{"date-parts":[["2005"]]},"publisher":"Elsevier","publisher-place":"Amsterdam","title":"The adult learner: the definitive classic in adult education and human resource development","type":"book"},"uris":["http://www.mendeley.com/documents/?uuid=91b9fd77-fb12-4133-a3eb-bd47fa318ca8"]}],"mendeley":{"formattedCitation":"(Knowles, Holton, &amp; Swanson, 2005)","manualFormatting":"(Knowles et al., 2005)","plainTextFormattedCitation":"(Knowles, Holton, &amp; Swanson, 2005)","previouslyFormattedCitation":"(Knowles, Holton, &amp; Swanson, 2005)"},"properties":{"noteIndex":0},"schema":"https://github.com/citation-style-language/schema/raw/master/csl-citation.json"}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(Knowles et al., 2005)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To support that, many studies (10%) have investigated the students' cognitive structures. Cognitive structure investigation gives the teacher with ideas of ​​how students think about a concept, specifically the way students link concepts in their minds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{"citationItems":[{"id":"ITEM-1","itemData":{"DOI":"10.1080/00219266.2018.1490798","ISSN":"21576009","abstract":"Teachers need to be aware of biology misconceptions in their classrooms and how to address them. In response, researchers and science educators have suggested and examined effective practices to prevent and ameliorate misconceptions. An extensive review of the literature gives researchers and educators insights into trends, practices, and gaps in the misconceptions research and helps decide which issues to address and why. The current study shares how researchers in Turkey conduct a content analysis of published misconception research in Turkey by using a form. The analysis resulted in a meta-synthesis (thematic content analysis) that inventoried and compared the purposes, research methods, data collection instruments, and findings of the selected publications. Biology educators in other regions of the world can inform their practice by using this instrument and research methods to learn about trends and patterns in misconception research. Researchers will gain insights into effective methods that have been used to examine misconceptions and will be able to identify biology misconceptions that have been under-investigated and need further analysis.","author":[{"dropping-particle":"","family":"Kumandaş","given":"Bahar","non-dropping-particle":"","parse-names":false,"suffix":""},{"dropping-particle":"","family":"Ateskan","given":"Armagan","non-dropping-particle":"","parse-names":false,"suffix":""},{"dropping-particle":"","family":"Lane","given":"Jennie","non-dropping-particle":"","parse-names":false,"suffix":""}],"container-title":"Journal of Biological Education","id":"ITEM-1","issue":"4","issued":{"date-parts":[["2019"]]},"page":"350-364","publisher":"Routledge","title":"Misconceptions in biology: a meta-synthesis study of research, 2000–2014","type":"article-journal","volume":"53"},"uris":["http://www.mendeley.com/documents/?uuid=c3193033-9330-41fb-aff0-5126a616b9b6"]}],"mendeley":{"formattedCitation":"(Kumandaş et al., 2019)","plainTextFormattedCitation":"(Kumandaş et al., 2019)","previouslyFormattedCitation":"(Kumandaş et al.,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(Kumandaş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largest participant (36%) in the articles were undergraduate students, followed by high school students (26%), and pre-service teachers (19%). At the level of higher education, the undergraduate students tend to have complex thought abstractions. If such thought develops in the realm of science plus daily experiences and common sense concepts without the construction of scientific knowledge, it can lead to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{"citationItems":[{"id":"ITEM-1","itemData":{"DOI":"10.26714/jps.5.2.2017.80-87","abstract":"Penelitian ini bertujuan untuk megidentifikasi miskonsepsi mahasiswa tentang konsep dasar gaya dan gerak untuk sekolah dasar. Instrumen yang digunakan adalah four-tier test terdiri dari sepuluh poin pertanyaan pilihan ganda. Dengan instrumen ini, dapat ditentukan klasifikasi mahasiswa yang paham konsep, tidak paham konsep, dan yang mengalami miskonsepsi, serta juga dapat diidentifikasi kemungkinan penyebab miskonsepsinya. Tes dilakukan pada mahasiswa pendidikan guru sekolah dasar yang menempuh mata kuliah konsep dasar IPA SD di perguruan tinggi di Tulungagung. Hasil penelitian ini mampu menentukan: (1) profil miskonsepsi konsep dasar gaya dan gerak, yaitu pada konsep resultan gaya pada benda stasioner adalah sebesar 26%; konsep kelembaman benda sebesar 44%; konsep pengaruh resultan gaya yang searah gerak benda sebesar 38%; serta konsep pengaruh resultan gaya yang berlawanan arah gerak benda sebesar 33%; (2) rata-rata sumber pengetahuan mahasiswa yang mengalami miskonsepsi adalah 19% dari guru, 4% dari buku, 38% dari pengalaman sehari-hari, dan 39% dari hasil pemikiran sendiri. Hasil ini memberikan implikasi perlunya dilakukan inovasi tentang strategi pembelajaran, media pembelajaran, maupun substansi materi pembelajaran konsep dasar IPA SD untuk remidiasi miskonsepsi.","author":[{"dropping-particle":"","family":"Resbiantoro","given":"Gaguk","non-dropping-particle":"","parse-names":false,"suffix":""},{"dropping-particle":"","family":"Nugraha","given":"Adola Wanda","non-dropping-particle":"","parse-names":false,"suffix":""}],"container-title":"Jurnal Pendidikan Sains (JPS)","id":"ITEM-1","issue":"2","issued":{"date-parts":[["2017"]]},"page":"80-87","title":"Miskonsepsi Mahasiswa pada Konsep Dasar Gaya dan Gerak untuk Sekolah Dasar","type":"article-journal","volume":"5"},"uris":["http://www.mendeley.com/documents/?uuid=db78b0eb-8273-4828-9f25-b44ad27575f3"]},{"id":"ITEM-2","itemData":{"ISBN":"031330226X","author":[{"dropping-particle":"","family":"Krebs","given":"Robert E.","non-dropping-particle":"","parse-names":false,"suffix":""}],"id":"ITEM-2","issued":{"date-parts":[["1999"]]},"publisher":"Greenwood Press","publisher-place":"Westport, CT","title":"Scientific development and misconceptions through the ages: a reference guide","type":"book"},"uris":["http://www.mendeley.com/documents/?uuid=b27e1fc3-3f6a-47f9-9e44-5b25c27157ab"]}],"mendeley":{"formattedCitation":"(Krebs, 1999; Resbiantoro &amp; Nugraha, 2017)","plainTextFormattedCitation":"(Krebs, 1999; Resbiantoro &amp; Nugraha, 2017)","previouslyFormattedCitation":"(Krebs, 1999; Resbiantoro &amp; Nugraha,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(Krebs, 1999; Resbiantoro &amp; Nugraha,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 pre-service teachers, misconception is a concern for researchers because it has the potential to be transferred to students when they become teachers later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{"citationItems":[{"id":"ITEM-1","itemData":{"DOI":"10.1080/00219266.2018.1490798","ISSN":"21576009","abstract":"Teachers need to be aware of biology misconceptions in their classrooms and how to address them. In response, researchers and science educators have suggested and examined effective practices to prevent and ameliorate misconceptions. An extensive review of the literature gives researchers and educators insights into trends, practices, and gaps in the misconceptions research and helps decide which issues to address and why. The current study shares how researchers in Turkey conduct a content analysis of published misconception research in Turkey by using a form. The analysis resulted in a meta-synthesis (thematic content analysis) that inventoried and compared the purposes, research methods, data collection instruments, and findings of the selected publications. Biology educators in other regions of the world can inform their practice by using this instrument and research methods to learn about trends and patterns in misconception research. Researchers will gain insights into effective methods that have been used to examine misconceptions and will be able to identify biology misconceptions that have been under-investigated and need further analysis.","author":[{"dropping-particle":"","family":"Kumandaş","given":"Bahar","non-dropping-particle":"","parse-names":false,"suffix":""},{"dropping-particle":"","family":"Ateskan","given":"Armagan","non-dropping-particle":"","parse-names":false,"suffix":""},{"dropping-particle":"","family":"Lane","given":"Jennie","non-dropping-particle":"","parse-names":false,"suffix":""}],"container-title":"Journal of Biological Education","id":"ITEM-1","issue":"4","issued":{"date-parts":[["2019"]]},"page":"350-364","publisher":"Routledge","title":"Misconceptions in biology: a meta-synthesis study of research, 2000–2014","type":"article-journal","volume":"53"},"uris":["http://www.mendeley.com/documents/?uuid=c3193033-9330-41fb-aff0-5126a616b9b6"]}],"mendeley":{"formattedCitation":"(Kumandaş et al., 2019)","plainTextFormattedCitation":"(Kumandaş et al., 2019)","previouslyFormattedCitation":"(Kumandaş et al.,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(Kumandaş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6DEB0214" w14:textId="77777777" w:rsidR="00AD23CC" w:rsidRPr="00AD23CC" w:rsidRDefault="00AD23CC" w:rsidP="00AD23CC">
      <w:pPr>
        <w:spacing w:after="160" w:line="259" w:lineRule="auto"/>
        <w:rPr>
          <w:rFonts w:ascii="Calibri" w:eastAsia="Calibri" w:hAnsi="Calibri" w:cs="Arial"/>
          <w:sz w:val="22"/>
          <w:szCs w:val="22"/>
          <w:lang w:val="id-ID"/>
        </w:rPr>
      </w:pPr>
    </w:p>
    <w:p w14:paraId="6BBB9A25" w14:textId="77777777" w:rsidR="00AD23CC" w:rsidRPr="00AD23CC" w:rsidRDefault="00AD23CC" w:rsidP="00AD23CC">
      <w:pPr>
        <w:spacing w:after="160" w:line="259" w:lineRule="auto"/>
        <w:rPr>
          <w:rFonts w:ascii="Calibri" w:eastAsia="Calibri" w:hAnsi="Calibri" w:cs="Arial"/>
          <w:b/>
          <w:bCs/>
          <w:i/>
          <w:iCs/>
          <w:sz w:val="22"/>
          <w:szCs w:val="22"/>
          <w:lang w:val="id-ID"/>
        </w:rPr>
      </w:pPr>
      <w:r w:rsidRPr="00AD23CC">
        <w:rPr>
          <w:rFonts w:ascii="Calibri" w:eastAsia="Calibri" w:hAnsi="Calibri" w:cs="Arial"/>
          <w:b/>
          <w:bCs/>
          <w:i/>
          <w:iCs/>
          <w:sz w:val="22"/>
          <w:szCs w:val="22"/>
          <w:lang w:val="id-ID"/>
        </w:rPr>
        <w:t>Diagnostic tools</w:t>
      </w:r>
    </w:p>
    <w:p w14:paraId="1715786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Various instruments for diagnosing misconceptions have been developed and used. Diagnostic tools for misconceptions are categorized in interviews, open-ended tests, multiple-choice tests, multiple-tier tests, and sequential tests. Each form of the test has advantages and disadvantages. The test arrangement regards the purposes, participants, and fitness of the material characteristics with the test structure. A diagnosis is a form of assessment that is very precise for identifying misconceptions because it has the purpose of identifying learning outcomes that are not yet understood by students as well as the causes for remediation later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{"citationItems":[{"id":"ITEM-1","itemData":{"ISBN":"9781292041025","author":[{"dropping-particle":"","family":"Nitko","given":"Anthony J","non-dropping-particle":"","parse-names":false,"suffix":""},{"dropping-particle":"","family":"Brookhart","given":"Susan M","non-dropping-particle":"","parse-names":false,"suffix":""}],"id":"ITEM-1","issued":{"date-parts":[["2014"]]},"publisher":"Pearson Education Limited","publisher-place":"London","title":"Educational Assessment of Students","type":"book"},"uris":["http://www.mendeley.com/documents/?uuid=95a59548-05e2-426a-bee5-5af2058ef342"]}],"mendeley":{"formattedCitation":"(Nitko &amp; Brookhart, 2014)","plainTextFormattedCitation":"(Nitko &amp; Brookhart, 2014)","previouslyFormattedCitation":"(Nitko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research development on misconceptions is greatly influenced by the development of diagnostic tests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{"citationItems":[{"id":"ITEM-1","itemData":{"ISBN":"0120885344","editor":[{"dropping-particle":"","family":"Mintzes","given":"Joel J.","non-dropping-particle":"","parse-names":false,"suffix":""},{"dropping-particle":"","family":"Wandersee","given":"James H.","non-dropping-particle":"","parse-names":false,"suffix":""},{"dropping-particle":"","family":"Novak","given":"Joseph D.","non-dropping-particle":"","parse-names":false,"suffix":""}],"id":"ITEM-1","issued":{"date-parts":[["2005"]]},"publisher":"Elsevier Academic Press","publisher-place":"San Diego, California","title":"Assessing Science Understanding: A Human Constructivist View","type":"book"},"uris":["http://www.mendeley.com/documents/?uuid=b4f2bec0-fee1-4b31-9b2f-337170eaa459"]}],"mendeley":{"formattedCitation":"(Mintzes, Wandersee, &amp; Novak, 2005)","manualFormatting":"(Mintzes et al., 2005)","plainTextFormattedCitation":"(Mintzes, Wandersee, &amp; Novak, 2005)","previouslyFormattedCitation":"(Mintzes, Wandersee, &amp; Novak, 2005)"},"properties":{"noteIndex":0},"schema":"https://github.com/citation-style-language/schema/raw/master/csl-citation.json"}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(Mintzes et al., 2005)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distribution of diagnostic tests for physics concepts is still limited in Figure 7, which means it still needs to be developed. The results of the misconception diagnosis will determine the steps of a teacher about their learning going forward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{"citationItems":[{"id":"ITEM-1","itemData":{"ISBN":"1853964484","author":[{"dropping-particle":"","family":"Harlen","given":"Wynne","non-dropping-particle":"","parse-names":false,"suffix":""}],"id":"ITEM-1","issued":{"date-parts":[["2001"]]},"publisher":"Paul Chapman Publishing Ltd","publisher-place":"London","title":"Teaching, learning and assessing science 5-12","type":"book"},"uris":["http://www.mendeley.com/documents/?uuid=cb261226-3d2f-403a-b40f-48a94ff4f970"]},{"id":"ITEM-2","itemData":{"ISBN":"9781292041025","author":[{"dropping-particle":"","family":"Nitko","given":"Anthony J","non-dropping-particle":"","parse-names":false,"suffix":""},{"dropping-particle":"","family":"Brookhart","given":"Susan M","non-dropping-particle":"","parse-names":false,"suffix":""}],"id":"ITEM-2","issued":{"date-parts":[["2014"]]},"publisher":"Pearson Education Limited","publisher-place":"London","title":"Educational Assessment of Students","type":"book"},"uris":["http://www.mendeley.com/documents/?uuid=95a59548-05e2-426a-bee5-5af2058ef342"]}],"mendeley":{"formattedCitation":"(Harlen, 2001; Nitko &amp; Brookhart, 2014)","plainTextFormattedCitation":"(Harlen, 2001; Nitko &amp; Brookhart, 2014)","previouslyFormattedCitation":"(Harlen, 2001; 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(Harlen, 2001; 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2DB8BDBE" w14:textId="77777777" w:rsidR="00AD23CC" w:rsidRPr="00AD23CC" w:rsidRDefault="00AD23CC" w:rsidP="00AD23CC">
      <w:pPr>
        <w:spacing w:after="160" w:line="259" w:lineRule="auto"/>
        <w:rPr>
          <w:rFonts w:ascii="Calibri" w:eastAsia="Calibri" w:hAnsi="Calibri" w:cs="Arial"/>
          <w:sz w:val="22"/>
          <w:szCs w:val="22"/>
          <w:lang w:val="id-ID"/>
        </w:rPr>
      </w:pPr>
    </w:p>
    <w:p w14:paraId="2353EFF3"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Open-ended tests were chosen by most researchers (29%). The characteristic of this test is that it can explore students' ideas through the answers or responses provided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{"citationItems":[{"id":"ITEM-1","itemData":{"ISBN":"0120885344","editor":[{"dropping-particle":"","family":"Mintzes","given":"Joel J.","non-dropping-particle":"","parse-names":false,"suffix":""},{"dropping-particle":"","family":"Wandersee","given":"James H.","non-dropping-particle":"","parse-names":false,"suffix":""},{"dropping-particle":"","family":"Novak","given":"Joseph D.","non-dropping-particle":"","parse-names":false,"suffix":""}],"id":"ITEM-1","issued":{"date-parts":[["2005"]]},"publisher":"Elsevier Academic Press","publisher-place":"San Diego, California","title":"Assessing Science Understanding: A Human Constructivist View","type":"book"},"uris":["http://www.mendeley.com/documents/?uuid=b4f2bec0-fee1-4b31-9b2f-337170eaa459"]}],"mendeley":{"formattedCitation":"(Mintzes et al., 2005)","plainTextFormattedCitation":"(Mintzes et al., 2005)","previouslyFormattedCitation":"(Mintzes et al., 2005)"},"properties":{"noteIndex":0},"schema":"https://github.com/citation-style-language/schema/raw/master/csl-citation.json"}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(Mintzes et al., 2005)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Through content analysis of the responses, researchers can identify errors and misconceptions in students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{"citationItems":[{"id":"ITEM-1","itemData":{"ISBN":"9781292041025","author":[{"dropping-particle":"","family":"Nitko","given":"Anthony J","non-dropping-particle":"","parse-names":false,"suffix":""},{"dropping-particle":"","family":"Brookhart","given":"Susan M","non-dropping-particle":"","parse-names":false,"suffix":""}],"id":"ITEM-1","issued":{"date-parts":[["2014"]]},"publisher":"Pearson Education Limited","publisher-place":"London","title":"Educational Assessment of Students","type":"book"},"uris":["http://www.mendeley.com/documents/?uuid=95a59548-05e2-426a-bee5-5af2058ef342"]}],"mendeley":{"formattedCitation":"(Nitko &amp; Brookhart, 2014)","plainTextFormattedCitation":"(Nitko &amp; Brookhart, 2014)","previouslyFormattedCitation":"(Nitko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advantage of open-ended tests is that students can convey their understanding of concepts in their language, and maybe even responses that are unexpected by researchers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et al., 2015)","plainTextFormattedCitation":"(Kaltakci-Gurel et al., 2015)","previouslyFormattedCitation":"(Kaltakci-Gurel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Sadler has stated that open-ended tests have the advantage of being able to reveal unexpected errors or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{"citationItems":[{"id":"ITEM-1","itemData":{"ISBN":"0120885344","editor":[{"dropping-particle":"","family":"Mintzes","given":"Joel J.","non-dropping-particle":"","parse-names":false,"suffix":""},{"dropping-particle":"","family":"Wandersee","given":"James H.","non-dropping-particle":"","parse-names":false,"suffix":""},{"dropping-particle":"","family":"Novak","given":"Joseph D.","non-dropping-particle":"","parse-names":false,"suffix":""}],"id":"ITEM-1","issued":{"date-parts":[["2005"]]},"publisher":"Elsevier Academic Press","publisher-place":"San Diego, California","title":"Assessing Science Understanding: A Human Constructivist View","type":"book"},"uris":["http://www.mendeley.com/documents/?uuid=b4f2bec0-fee1-4b31-9b2f-337170eaa459"]}],"mendeley":{"formattedCitation":"(Mintzes et al., 2005)","plainTextFormattedCitation":"(Mintzes et al., 2005)","previouslyFormattedCitation":"(Mintzes et al., 2005)"},"properties":{"noteIndex":0},"schema":"https://github.com/citation-style-language/schema/raw/master/csl-citation.json"}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(Mintzes et al., 2005)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While its weakness takes a long time to analyze student responses, including difficulties in scoring and categorizing responses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et al., 2015)","plainTextFormattedCitation":"(Kaltakci-Gurel et al., 2015)","previouslyFormattedCitation":"(Kaltakci-Gurel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This reason that causes open-ended tests less appropriate to be employed in research with large numbers of participants. The first use of open-ended tests as diagnostic tools had been published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{"citationItems":[{"id":"ITEM-1","itemData":{"DOI":"10.1080/0140528830050403","ISBN":"0140528830","ISSN":"01405284","abstract":"‡ This article summarizes a more detailed report included in the Elevperspektiv (The Pupil's Perspective) series. This report, ‘Light and its properties’, is available in both Swedish and English, and describes answers to a greater number of problems than are mentioned in the present article. In addition, interviews with 21 pupils are analysed and illustrated with examples. The report can be obtained from Bjorn Andersson, EKNA Project, Department of Educational Research, PO Box 1010, S‐431 26 Mölndal, Sweden. © 1983 Taylor &amp; Francis Group, LLC.","author":[{"dropping-particle":"","family":"Andersson","given":"Björn","non-dropping-particle":"","parse-names":false,"suffix":""},{"dropping-particle":"","family":"Kärrqvist","given":"Christina","non-dropping-particle":"","parse-names":false,"suffix":""}],"container-title":"European Journal of Science Education","id":"ITEM-1","issue":"4","issued":{"date-parts":[["1983"]]},"page":"387-402","title":"How swedish pupils, aged 12‐15 years, understand light and its properties","type":"article-journal","volume":"5"},"uris":["http://www.mendeley.com/documents/?uuid=76be4af1-cbc4-44a1-b78f-76ef47e4a6a6"]}],"mendeley":{"formattedCitation":"(Andersson &amp; Kärrqvist, 1983)","manualFormatting":"Andersson &amp; Kärrqvist (1983)","plainTextFormattedCitation":"(Andersson &amp; Kärrqvist, 1983)","previouslyFormattedCitation":"(Andersson &amp; Kärrqvist, 1983)"},"properties":{"noteIndex":0},"schema":"https://github.com/citation-style-language/schema/raw/master/csl-citation.json"}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Andersson &amp; Kärrqvist (1983)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{"citationItems":[{"id":"ITEM-1","itemData":{"DOI":"10.1080/0950069890110304","ISSN":"14645289","abstract":"The topic of geometrical optics was chosen to diagnose the preconceptions of 44 trainee teachers in this subject area. The scores obtained from a pretest were examined with respect to several variables describing cognitive, academic and social factors. The results suggest that both students’ level of cognitive development and their pre‐knowledge should be taken into account in developing an integrating paradigm for science teaching. Cognitive style appears as a further variable to be considered in this. © 1989 Taylor &amp; Francis Group, LLC.","author":[{"dropping-particle":"","family":"Palacios","given":"F. Javier Perales","non-dropping-particle":"","parse-names":false,"suffix":""},{"dropping-particle":"","family":"Cazorla","given":"Francisco Nievas","non-dropping-particle":"","parse-names":false,"suffix":""},{"dropping-particle":"","family":"Madrid","given":"Agustin Cervantes","non-dropping-particle":"","parse-names":false,"suffix":""}],"container-title":"International Journal of Science Education","id":"ITEM-1","issue":"3","issued":{"date-parts":[["1989"]]},"page":"273-286","title":"Misconceptions on geometric optics and their association with relevant educational variables","type":"article-journal","volume":"11"},"uris":["http://www.mendeley.com/documents/?uuid=32ae6c12-d9c5-48b1-83d1-ad01f98527f3"]}],"mendeley":{"formattedCitation":"(Palacios, Cazorla, &amp; Madrid, 1989)","manualFormatting":"Palacios, Cazorla, &amp; Madrid (1989)","plainTextFormattedCitation":"(Palacios, Cazorla, &amp; Madrid, 1989)","previouslyFormattedCitation":"(Palacios, Cazorla, &amp; Madrid, 1989)"},"properties":{"noteIndex":0},"schema":"https://github.com/citation-style-language/schema/raw/master/csl-citation.json"}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Palacios, Cazorla, &amp; Madrid (1989)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{"citationItems":[{"id":"ITEM-1","itemData":{"DOI":"10.1002/(SICI)1098-2736(199704)34:4&lt;399::AID-TEA8&gt;3.0.CO;2-M","ISSN":"00224308","abstract":"This study formed part of a project aimed at revising the instructional approach for geometrical optics in the 10th grade. The instructional intervention was based on the extensive use of a diagrammatic representation as a descriptive, explanatory, and problem-solving tool in the doman. The purpose of this was to elicit the conceptions and representations of light propagation, image formation, and sight typical to preinstruction learners, with special attention to identifying precursors of problematic features of postinstruction students' knowledge. The premise for this study was that the difficulties students have before, during, and after traditional instruction with respect to representing optical phenomena have their origins in the fragmented prescientific knowledge constructed on the basis of experience. We believe that the difficulties persist because the key factors leading to fragmentation are not usually addressed and remedied. The main findings of the study indicate that (a) preinstruction students display some familiarity with optical systems, light propagation, and illumination patterns; (b) student-generated graphical representations describing and explaining optical phenomena display some features of formal ray tracing; (c) preinstruction students have not developed a consistent descriptive and explanatory model for light propagation; and (d) the context of sight seems to have a confounding effect on the establishment of a unified prior model for optical phenomena.","author":[{"dropping-particle":"","family":"Langley","given":"Dorothy","non-dropping-particle":"","parse-names":false,"suffix":""},{"dropping-particle":"","family":"Ronen","given":"Miky","non-dropping-particle":"","parse-names":false,"suffix":""},{"dropping-particle":"","family":"Eylon","given":"Bat Sheva","non-dropping-particle":"","parse-names":false,"suffix":""}],"container-title":"Journal of Research in Science Teaching","id":"ITEM-1","issue":"4","issued":{"date-parts":[["1997"]]},"page":"399-424","title":"Light Propagation and Visual Patterns: Preinstruction Learners' Conceptions","type":"article-journal","volume":"34"},"uris":["http://www.mendeley.com/documents/?uuid=2410d81b-34e8-4605-8ad0-a8ffea2dcdec"]}],"mendeley":{"formattedCitation":"(Langley, Ronen, &amp; Eylon, 1997)","manualFormatting":"Langley, Ronen, &amp; Eylon (1997)","plainTextFormattedCitation":"(Langley, Ronen, &amp; Eylon, 1997)","previouslyFormattedCitation":"(Langley, Ronen, &amp; Eylon, 1997)"},"properties":{"noteIndex":0},"schema":"https://github.com/citation-style-language/schema/raw/master/csl-citation.json"}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Langley, Ronen, &amp; Eylon (1997)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dan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{"citationItems":[{"id":"ITEM-1","itemData":{"DOI":"10.1080/09500690110078923","ISBN":"0950069011007","ISSN":"14645289","abstract":"This paper focuses on difficulties students have in reading images, regarding the understanding of a particular domain, e.g. optics and colour. We concentrated upon what extent teachers were conscious of such difficulties and what they suggested doing to avoid possible pitfalls in this respect. A list of expected obstacles, set up to initiate the study, was shown to be appropriate. It shows that, when they predicted or observed a misunderstanding, the consulted teachers tended to add some elements to a misleading image rather than discussing the symbols that were used, their more or less realistic status and their possible ambiguity. Implications for teacher training and the design of innovative sequences are briefly discussed. © 2002 Taylor &amp; Francis Ltd.","author":[{"dropping-particle":"","family":"Colin","given":"Philippe","non-dropping-particle":"","parse-names":false,"suffix":""},{"dropping-particle":"","family":"Chauvet","given":"Françoise","non-dropping-particle":"","parse-names":false,"suffix":""},{"dropping-particle":"","family":"Viennot","given":"Laurence","non-dropping-particle":"","parse-names":false,"suffix":""}],"container-title":"International Journal of Science Education","id":"ITEM-1","issue":"3","issued":{"date-parts":[["2002"]]},"page":"313-332","title":"Reading images in optics: Students’ difficulties and teachers’ views","type":"article-journal","volume":"24"},"uris":["http://www.mendeley.com/documents/?uuid=0c83f98f-c629-463d-af6b-d095d5ced13b"]}],"mendeley":{"formattedCitation":"(Colin, Chauvet, &amp; Viennot, 2002)","manualFormatting":"Colin, Chauvet, &amp; Viennot (2002)","plainTextFormattedCitation":"(Colin, Chauvet, &amp; Viennot, 2002)","previouslyFormattedCitation":"(Colin, Chauvet, &amp; Viennot,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Colin, Chauvet, &amp; Viennot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While the use of open-ended tests in reviewed articles can be seen in the Appendix 1. </w:t>
      </w:r>
    </w:p>
    <w:p w14:paraId="66291385" w14:textId="77777777" w:rsidR="00AD23CC" w:rsidRPr="00AD23CC" w:rsidRDefault="00AD23CC" w:rsidP="00AD23CC">
      <w:pPr>
        <w:spacing w:after="160" w:line="259" w:lineRule="auto"/>
        <w:rPr>
          <w:rFonts w:ascii="Calibri" w:eastAsia="Calibri" w:hAnsi="Calibri" w:cs="Arial"/>
          <w:sz w:val="22"/>
          <w:szCs w:val="22"/>
          <w:lang w:val="id-ID"/>
        </w:rPr>
      </w:pPr>
    </w:p>
    <w:p w14:paraId="50DEB1C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Multiple-choice tests (MCT) become the most choices after open-ended tests for diagnosing misconceptions. The form of this test generally consists of two parts, stem (problem to be tested) and a list of possible answers or multiple-choice items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9781416605690","author":[{"dropping-particle":"","family":"Fisher","given":"Douglas","non-dropping-particle":"","parse-names":false,"suffix":""},{"dropping-particle":"","family":"Frey","given":"Nancy","non-dropping-particle":"","parse-names":false,"suffix":""}],"id":"ITEM-1","issued":{"date-parts":[["2007"]]},"publisher":"Association for Supervision and Curriculum Development (ASCD)","publisher-place":"Alexandria, Virginia","title":"Checking for understanding: formative assessment techniques for your classroom","type":"book"},"uris":["http://www.mendeley.com/documents/?uuid=13fc2b99-c8c5-496a-ba2e-0f94bba08ce5"]}],"mendeley":{"formattedCitation":"(Fisher &amp; Frey, 2007)","plainTextFormattedCitation":"(Fisher &amp; Frey, 2007)","previouslyFormattedCitation":"(Fisher &amp; Frey, 2007)"},"properties":{"noteIndex":0},"schema":"https://github.com/citation-style-language/schema/raw/master/csl-citation.json"}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(Fisher &amp; Frey, 2007)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Multiple-choice items carry correct or best answer choices and distractors for questions or problems that have been submitted in the stem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{"citationItems":[{"id":"ITEM-1","itemData":{"ISBN":"9781292041025","author":[{"dropping-particle":"","family":"Nitko","given":"Anthony J","non-dropping-particle":"","parse-names":false,"suffix":""},{"dropping-particle":"","family":"Brookhart","given":"Susan M","non-dropping-particle":"","parse-names":false,"suffix":""}],"id":"ITEM-1","issued":{"date-parts":[["2014"]]},"publisher":"Pearson Education Limited","publisher-place":"London","title":"Educational Assessment of Students","type":"book"},"uris":["http://www.mendeley.com/documents/?uuid=95a59548-05e2-426a-bee5-5af2058ef342"]}],"mendeley":{"formattedCitation":"(Nitko &amp; Brookhart, 2014)","plainTextFormattedCitation":"(Nitko &amp; Brookhart, 2014)","previouslyFormattedCitation":"(Nitko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Distractors are answer choices that seem right for students who lack understanding, even though actually wrong. If students choose the distractors, then indicate students have misconceptions. Many kinds of MCT to identify the conceptual understanding of physics, most of them have been shared on the PhysPort page by the American Association of Physics Teachers (AAPT). An example is for testing the basic concepts of mechanics, Force Concept Inventory (FCI) has been developed in the form of MCT.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Hestenes","given":"David","non-dropping-particle":"","parse-names":false,"suffix":""},{"dropping-particle":"","family":"Wells","given":"Malcolm","non-dropping-particle":"","parse-names":false,"suffix":""},{"dropping-particle":"","family":"Swackhamer","given":"Gregg","non-dropping-particle":"","parse-names":false,"suffix":""}],"container-title":"The Physics Teacher","id":"ITEM-1","issue":"March","issued":{"date-parts":[["1992"]]},"page":"141-158","title":"Force Concept Inventory","type":"article-journal","volume":"30"},"uris":["http://www.mendeley.com/documents/?uuid=85a0a0f9-df00-4982-9f0c-111184495928"]}],"mendeley":{"formattedCitation":"(Hestenes, Wells, &amp; Swackhamer, 1992)","manualFormatting":"Hestenes et al. (1992)","plainTextFormattedCitation":"(Hestenes, Wells, &amp; Swackhamer, 1992)","previouslyFormattedCitation":"(Hestenes, Wells, &amp; Swackhamer, 1992)"},"properties":{"noteIndex":0},"schema":"https://github.com/citation-style-language/schema/raw/master/csl-citation.json"}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Hestenes et al. (1992)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as the developer has stated that one of the uses of the FCI is to diagnose misconceptions. FCI has been very popular among international researchers for testing the students' conceptual understanding and misconceptions. Many FCI users in their research based on this review are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{"citationItems":[{"id":"ITEM-1","itemData":{"author":[{"dropping-particle":"","family":"Bayraktar","given":"Sule","non-dropping-particle":"","parse-names":false,"suffix":""}],"container-title":"International Journal of Science and Mathematics Education","id":"ITEM-1","issued":{"date-parts":[["2009"]]},"page":"273-291","title":"Misconceptions of turkish pre-service teachers about force and motion","type":"article-journal","volume":"7"},"uris":["http://www.mendeley.com/documents/?uuid=ed3c00ee-f9d7-4cf7-b3bb-7030eba9f0c2"]}],"mendeley":{"formattedCitation":"(Bayraktar, 2009)","manualFormatting":"Bayraktar (2009)","plainTextFormattedCitation":"(Bayraktar, 2009)","previouslyFormattedCitation":"(Bayraktar, 2009)"},"properties":{"noteIndex":0},"schema":"https://github.com/citation-style-language/schema/raw/master/csl-citation.json"}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Bayraktar (2009)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03043797.2010.497552","author":[{"dropping-particle":"","family":"Martín-blas","given":"Teresa","non-dropping-particle":"","parse-names":false,"suffix":""},{"dropping-particle":"","family":"Seidel","given":"Luis","non-dropping-particle":"","parse-names":false,"suffix":""},{"dropping-particle":"","family":"Serrano-fernández","given":"Ana","non-dropping-particle":"","parse-names":false,"suffix":""}],"container-title":"European Journal of Engineering","id":"ITEM-1","issue":"6","issued":{"date-parts":[["2010"]]},"page":"597–606","title":"Enhancing Force Concept Inventory diagnostics to identify dominant misconceptions in first-year engineering physics","type":"article-journal","volume":"35"},"uris":["http://www.mendeley.com/documents/?uuid=80d05570-f378-4586-9702-2a4e604f1b0f"]}],"mendeley":{"formattedCitation":"(Martín-blas, Seidel, &amp; Serrano-fernández, 2010)","manualFormatting":"Martín-blas et al. (2010)","plainTextFormattedCitation":"(Martín-blas, Seidel, &amp; Serrano-fernández, 2010)","previouslyFormattedCitation":"(Martín-blas, Seidel, &amp; Serrano-fernández, 2010)"},"properties":{"noteIndex":0},"schema":"https://github.com/citation-style-language/schema/raw/master/csl-citation.json"}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Martín-blas et al. (2010)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{"citationItems":[{"id":"ITEM-1","itemData":{"DOI":"10.1002/tea.20434","author":[{"dropping-particle":"","family":"Taasoobshirazi","given":"Gita","non-dropping-particle":"","parse-names":false,"suffix":""},{"dropping-particle":"","family":"Sinatra","given":"Gale M","non-dropping-particle":"","parse-names":false,"suffix":""},{"dropping-particle":"","family":"Angeles","given":"Los","non-dropping-particle":"","parse-names":false,"suffix":""}],"container-title":"Journal of Research in Science Teaching","id":"ITEM-1","issue":"8","issued":{"date-parts":[["2011"]]},"page":"901-918","title":"A Structural Equation Model of Conceptual Change in Physics","type":"article-journal","volume":"48"},"uris":["http://www.mendeley.com/documents/?uuid=f77689f4-3e24-461a-adda-7d90c783b326"]}],"mendeley":{"formattedCitation":"(Taasoobshirazi, Sinatra, &amp; Angeles, 2011)","manualFormatting":"Taasoobshirazi et al. (2011)","plainTextFormattedCitation":"(Taasoobshirazi, Sinatra, &amp; Angeles, 2011)","previouslyFormattedCitation":"(Taasoobshirazi, Sinatra, &amp; Angeles, 2011)"},"properties":{"noteIndex":0},"schema":"https://github.com/citation-style-language/schema/raw/master/csl-citation.json"}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Taasoobshirazi et al. (2011)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{"citationItems":[{"id":"ITEM-1","itemData":{"DOI":"10.1007/s10763-018-09944-1","author":[{"dropping-particle":"","family":"Fazio","given":"Claudio","non-dropping-particle":"","parse-names":false,"suffix":""},{"dropping-particle":"","family":"Battaglia","given":"Onofrio R","non-dropping-particle":"","parse-names":false,"suffix":""}],"container-title":"International Journal of Science and Mathematics Education","id":"ITEM-1","issued":{"date-parts":[["2018"]]},"page":"1497–1517","publisher":"International Journal of Science and Mathematics Education","title":"Conceptual Understanding of Newtonian Mechanics Through Cluster Analysis of FCI Student Answers","type":"article-journal","volume":"17"},"uris":["http://www.mendeley.com/documents/?uuid=e215c9fb-a98b-4144-b9bb-515b848757a8"]}],"mendeley":{"formattedCitation":"(Fazio &amp; Battaglia, 2018)","manualFormatting":"Fazio &amp; Battaglia (2018)","plainTextFormattedCitation":"(Fazio &amp; Battaglia, 2018)","previouslyFormattedCitation":"(Fazio &amp; Battaglia, 2018)"},"properties":{"noteIndex":0},"schema":"https://github.com/citation-style-language/schema/raw/master/csl-citation.json"}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Fazio &amp; Battaglia (2018)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dan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{"citationItems":[{"id":"ITEM-1","itemData":{"DOI":"10.1016/j.learninstruc.2011.06.003","ISSN":"0959-4752","author":[{"dropping-particle":"","family":"Franco","given":"Gina M","non-dropping-particle":"","parse-names":false,"suffix":""},{"dropping-particle":"","family":"Muis","given":"Krista R","non-dropping-particle":"","parse-names":false,"suffix":""},{"dropping-particle":"","family":"Kendeou","given":"Panayiota","non-dropping-particle":"","parse-names":false,"suffix":""},{"dropping-particle":"","family":"Ranellucci","given":"John","non-dropping-particle":"","parse-names":false,"suffix":""},{"dropping-particle":"","family":"Sampasivam","given":"Lavanya","non-dropping-particle":"","parse-names":false,"suffix":""},{"dropping-particle":"","family":"Wang","given":"Xihui","non-dropping-particle":"","parse-names":false,"suffix":""}],"container-title":"Learning and Instruction","id":"ITEM-1","issue":"1","issued":{"date-parts":[["2012"]]},"page":"62-77","publisher":"Elsevier Ltd","title":"Examining the influences of epistemic beliefs and knowledge representations on cognitive processing and conceptual change when learning physics","type":"article-journal","volume":"22"},"uris":["http://www.mendeley.com/documents/?uuid=89c1e4cf-784b-43bd-8b66-f8f015650357"]}],"mendeley":{"formattedCitation":"(Franco et al., 2012)","manualFormatting":"Franco et al. (2012)","plainTextFormattedCitation":"(Franco et al., 2012)","previouslyFormattedCitation":"(Franco et al.,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Franco et al. (2012)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FCI is usually adapted and translated by researchers into their language, for instance,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{"citationItems":[{"id":"ITEM-1","itemData":{"author":[{"dropping-particle":"","family":"Bayraktar","given":"Sule","non-dropping-particle":"","parse-names":false,"suffix":""}],"container-title":"International Journal of Science and Mathematics Education","id":"ITEM-1","issued":{"date-parts":[["2009"]]},"page":"273-291","title":"Misconceptions of turkish pre-service teachers about force and motion","type":"article-journal","volume":"7"},"uris":["http://www.mendeley.com/documents/?uuid=ed3c00ee-f9d7-4cf7-b3bb-7030eba9f0c2"]}],"mendeley":{"formattedCitation":"(Bayraktar, 2009)","manualFormatting":"Bayraktar (2009)","plainTextFormattedCitation":"(Bayraktar, 2009)","previouslyFormattedCitation":"(Bayraktar, 2009)"},"properties":{"noteIndex":0},"schema":"https://github.com/citation-style-language/schema/raw/master/csl-citation.json"}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Bayraktar (2009)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had translated FCI to Turkish. Recently researchers using MCT to identify misconceptions are shown in Appendix 1.</w:t>
      </w:r>
    </w:p>
    <w:p w14:paraId="0A56FEAE" w14:textId="77777777" w:rsidR="00AD23CC" w:rsidRPr="00AD23CC" w:rsidRDefault="00AD23CC" w:rsidP="00AD23CC">
      <w:pPr>
        <w:spacing w:after="160" w:line="259" w:lineRule="auto"/>
        <w:rPr>
          <w:rFonts w:ascii="Calibri" w:eastAsia="Calibri" w:hAnsi="Calibri" w:cs="Arial"/>
          <w:sz w:val="22"/>
          <w:szCs w:val="22"/>
          <w:lang w:val="id-ID"/>
        </w:rPr>
      </w:pPr>
    </w:p>
    <w:p w14:paraId="46751574"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selection of MCT as a diagnostic tool must consider the advantages as well as weaknesses. Time efficiency for more objective analysis of answers and scoring is an advantage of MCT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science","type":"article-journal","volume":"11"},"uris":["http://www.mendeley.com/documents/?uuid=4e8b9c0d-8fb9-4bba-a2dc-8c810c143d88"]},{"id":"ITEM-2","itemData":{"ISBN":"0120885344","editor":[{"dropping-particle":"","family":"Mintzes","given":"Joel J.","non-dropping-particle":"","parse-names":false,"suffix":""},{"dropping-particle":"","family":"Wandersee","given":"James H.","non-dropping-particle":"","parse-names":false,"suffix":""},{"dropping-particle":"","family":"Novak","given":"Joseph D.","non-dropping-particle":"","parse-names":false,"suffix":""}],"id":"ITEM-2","issued":{"date-parts":[["2005"]]},"publisher":"Elsevier Academic Press","publisher-place":"San Diego, California","title":"Assessing Science Understanding: A Human Constructivist View","type":"book"},"uris":["http://www.mendeley.com/documents/?uuid=b4f2bec0-fee1-4b31-9b2f-337170eaa459"]},{"id":"ITEM-3","itemData":{"ISBN":"9781292041025","author":[{"dropping-particle":"","family":"Nitko","given":"Anthony J","non-dropping-particle":"","parse-names":false,"suffix":""},{"dropping-particle":"","family":"Brookhart","given":"Susan M","non-dropping-particle":"","parse-names":false,"suffix":""}],"id":"ITEM-3","issued":{"date-parts":[["2014"]]},"publisher":"Pearson Education Limited","publisher-place":"London","title":"Educational Assessment of Students","type":"book"},"uris":["http://www.mendeley.com/documents/?uuid=95a59548-05e2-426a-bee5-5af2058ef342"]}],"mendeley":{"formattedCitation":"(Kaltakci-Gurel et al., 2015; Mintzes et al., 2005; Nitko &amp; Brookhart, 2014)","plainTextFormattedCitation":"(Kaltakci-Gurel et al., 2015; Mintzes et al., 2005; Nitko &amp; Brookhart, 2014)","previouslyFormattedCitation":"(Kaltakci-Gurel et al., 2015; Mintzes et al., 2005; 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 Mintzes et al., 2005; 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So even though the number of participants in the study is very large, the time needed for the analysis of answers will be shorter when compared to open-ended tests. Some weaknesses that need to be noticed from MCT are not being able to investigate students' ideas in depth, there are false answers although they are true, and the difficulty of arranging conforming items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science","type":"article-journal","volume":"11"},"uris":["http://www.mendeley.com/documents/?uuid=4e8b9c0d-8fb9-4bba-a2dc-8c810c143d88"]},{"id":"ITEM-2","itemData":{"ISBN":"0120885344","editor":[{"dropping-particle":"","family":"Mintzes","given":"Joel J.","non-dropping-particle":"","parse-names":false,"suffix":""},{"dropping-particle":"","family":"Wandersee","given":"James H.","non-dropping-particle":"","parse-names":false,"suffix":""},{"dropping-particle":"","family":"Novak","given":"Joseph D.","non-dropping-particle":"","parse-names":false,"suffix":""}],"id":"ITEM-2","issued":{"date-parts":[["2005"]]},"publisher":"Elsevier Academic Press","publisher-place":"San Diego, California","title":"Assessing Science Understanding: A Human Constructivist View","type":"book"},"uris":["http://www.mendeley.com/documents/?uuid=b4f2bec0-fee1-4b31-9b2f-337170eaa459"]},{"id":"ITEM-3","itemData":{"ISBN":"9781292041025","author":[{"dropping-particle":"","family":"Nitko","given":"Anthony J","non-dropping-particle":"","parse-names":false,"suffix":""},{"dropping-particle":"","family":"Brookhart","given":"Susan M","non-dropping-particle":"","parse-names":false,"suffix":""}],"id":"ITEM-3","issued":{"date-parts":[["2014"]]},"publisher":"Pearson Education Limited","publisher-place":"London","title":"Educational Assessment of Students","type":"book"},"uris":["http://www.mendeley.com/documents/?uuid=95a59548-05e2-426a-bee5-5af2058ef342"]}],"mendeley":{"formattedCitation":"(Kaltakci-Gurel et al., 2015; Mintzes et al., 2005; Nitko &amp; Brookhart, 2014)","plainTextFormattedCitation":"(Kaltakci-Gurel et al., 2015; Mintzes et al., 2005; Nitko &amp; Brookhart, 2014)","previouslyFormattedCitation":"(Kaltakci-Gurel et al., 2015; Mintzes et al., 2005; 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 Mintzes et al., 2005; 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Student ideas cannot be investigated in-depth because of the limited answer choices. That closes the possibility of finding new patterns of misconception. The right answers are not certainly authentic because of any possibility that students only guessed and inadequate to explain the reasons. Likewise, students who answer incorrectly cannot be concluded having misconceptions because of any possibility that students just answered without knowledge. In </w:t>
      </w:r>
      <w:r w:rsidRPr="00AD23CC">
        <w:rPr>
          <w:rFonts w:ascii="Calibri" w:eastAsia="Calibri" w:hAnsi="Calibri" w:cs="Arial"/>
          <w:sz w:val="22"/>
          <w:szCs w:val="22"/>
          <w:lang w:val="id-ID"/>
        </w:rPr>
        <w:lastRenderedPageBreak/>
        <w:t xml:space="preserve">their publications on FCI,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Hestenes","given":"David","non-dropping-particle":"","parse-names":false,"suffix":""},{"dropping-particle":"","family":"Wells","given":"Malcolm","non-dropping-particle":"","parse-names":false,"suffix":""},{"dropping-particle":"","family":"Swackhamer","given":"Gregg","non-dropping-particle":"","parse-names":false,"suffix":""}],"container-title":"The Physics Teacher","id":"ITEM-1","issue":"March","issued":{"date-parts":[["1992"]]},"page":"141-158","title":"Force Concept Inventory","type":"article-journal","volume":"30"},"uris":["http://www.mendeley.com/documents/?uuid=85a0a0f9-df00-4982-9f0c-111184495928"]}],"mendeley":{"formattedCitation":"(Hestenes et al., 1992)","manualFormatting":"Hestenes et al. (1992)","plainTextFormattedCitation":"(Hestenes et al., 1992)","previouslyFormattedCitation":"(Hestenes et al., 1992)"},"properties":{"noteIndex":0},"schema":"https://github.com/citation-style-language/schema/raw/master/csl-citation.json"}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Hestenes et al. (1992)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also suggested to follow-up on students' wrong answers through interviews related to reasons for their choice to ensure misconceptions. The arrangement of stem and distractors are a challenge to develop well-constructed items. Stem and distractors are usually in the form of common misconceptions obtained from literature studies, interviews, or open-ended questions that are conducted first, such as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rince","given":"Michael","non-dropping-particle":"","parse-names":false,"suffix":""},{"dropping-particle":"","family":"Vigeant","given":"Margot","non-dropping-particle":"","parse-names":false,"suffix":""},{"dropping-particle":"","family":"Nottis","given":"Katharyn","non-dropping-particle":"","parse-names":false,"suffix":""}],"container-title":"Journal of Engineering Education","id":"ITEM-1","issue":"3","issued":{"date-parts":[["2012"]]},"page":"412-438","title":"Development of the Heat and Energy Concept Inventory: Preliminary Results on the Prevalence and Persistence of Engineering Students’ Misconceptions","type":"article-journal","volume":"101"},"uris":["http://www.mendeley.com/documents/?uuid=6a6c5125-4536-478a-9375-e2745fad509b"]}],"mendeley":{"formattedCitation":"(Prince, Vigeant, &amp; Nottis, 2012)","manualFormatting":"Prince et al. (2012)","plainTextFormattedCitation":"(Prince, Vigeant, &amp; Nottis, 2012)","previouslyFormattedCitation":"(Prince, Vigeant, &amp; Nottis,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Prince et al. (2012)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{"citationItems":[{"id":"ITEM-1","itemData":{"DOI":"10.1002/sce.21172","author":[{"dropping-particle":"","family":"Wind","given":"Stefanie A","non-dropping-particle":"","parse-names":false,"suffix":""},{"dropping-particle":"","family":"Gale","given":"Jessica D","non-dropping-particle":"","parse-names":false,"suffix":""}],"container-title":"Science Education","id":"ITEM-1","issue":"4","issued":{"date-parts":[["2015"]]},"page":"721-741","title":"Diagnostic Opportunities Using Rasch Measurement in the Context of a Misconceptions‐Based Physical Science Assessment","type":"article-journal","volume":"99"},"uris":["http://www.mendeley.com/documents/?uuid=c212493c-b363-455c-8b10-b95da7649604"]}],"mendeley":{"formattedCitation":"(Wind &amp; Gale, 2015)","manualFormatting":"Wind &amp; Gale (2015)","plainTextFormattedCitation":"(Wind &amp; Gale, 2015)","previouslyFormattedCitation":"(Wind &amp; Gale,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Wind &amp; Gale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{"citationItems":[{"id":"ITEM-1","itemData":{"DOI":"10.1007/s10956-007-9083-1","ISSN":"10590145","abstract":"The aims of this study were considered under three headings. The first was to elicit misconception that science and physics student teachers (pre-service teachers) had about the terms, ''inertial mass'', ''gravitational mass'', ''gravity'', ''gravitational force'' and \"weight\". The second was to understand how prior learning affected their misconceptions, and whether teachers' misconceptions affected their students' learning. The third was to determine the differences between science and physics student teachers' understanding levels related to mass and gravity, and between their logical thinking ability levels and their attitudes toward physics lessons. A total of 267 science and physics student teachers participated in the study. Data collection instruments included the physics concept test, the logical thinking ability test and physics attitude scale. All instruments were administered to the participants at the end of the 3rd semester of their university years. The physics test consisting of paper and pencil test involving 16 questions was designed, but only four questions were related to mass and gravity; the second test consisted of 10 questions with two stages. The third test however, consisted of 15 likert type items. As a result of the analysis undertaken, it was found that student teachers had serious misconceptions about inertia, gravity, gravitational acceleration, gravitational force and weight concepts. The results also revealed that student teachers generally had positive attitudes toward physics lessons, and their logical thinking level was fairly good. © 2007 Springer Science+Business Media, LLC.","author":[{"dropping-particle":"","family":"Gönen","given":"Selahattin","non-dropping-particle":"","parse-names":false,"suffix":""}],"container-title":"Journal of Science Education and Technology","id":"ITEM-1","issue":"1","issued":{"date-parts":[["2008"]]},"page":"70-81","title":"A study on student teachers' Misconceptions and scientifically acceptable conceptions about mass and gravity","type":"article-journal","volume":"17"},"uris":["http://www.mendeley.com/documents/?uuid=267ce6f6-ad77-4a7d-81f6-26901ec48c9a"]}],"mendeley":{"formattedCitation":"(Gönen, 2008)","manualFormatting":"Gönen (2008)","plainTextFormattedCitation":"(Gönen, 2008)","previouslyFormattedCitation":"(Gönen,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Gönen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dan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{"citationItems":[{"id":"ITEM-1","itemData":{"DOI":"10.1016/j.sbspro.2011.02.074","ISSN":"1877-0428","author":[{"dropping-particle":"","family":"Alwan","given":"Almahdi Ali","non-dropping-particle":"","parse-names":false,"suffix":""}],"container-title":"Procedia Social and Behavioral Sciences","id":"ITEM-1","issued":{"date-parts":[["2011"]]},"page":"600-614","title":"Misconception of heat and temperature Among physics students Introduction :","type":"article-journal","volume":"12"},"uris":["http://www.mendeley.com/documents/?uuid=fa081a95-6f98-480a-92da-2e7e97e43f78"]}],"mendeley":{"formattedCitation":"(Alwan, 2011)","manualFormatting":"Alwan (2011)","plainTextFormattedCitation":"(Alwan, 2011)","previouslyFormattedCitation":"(Alwan, 2011)"},"properties":{"noteIndex":0},"schema":"https://github.com/citation-style-language/schema/raw/master/csl-citation.json"}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Alwan (2011)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14C4DE7B" w14:textId="77777777" w:rsidR="00AD23CC" w:rsidRPr="00AD23CC" w:rsidRDefault="00AD23CC" w:rsidP="00AD23CC">
      <w:pPr>
        <w:spacing w:after="160" w:line="259" w:lineRule="auto"/>
        <w:rPr>
          <w:rFonts w:ascii="Calibri" w:eastAsia="Calibri" w:hAnsi="Calibri" w:cs="Arial"/>
          <w:sz w:val="22"/>
          <w:szCs w:val="22"/>
          <w:lang w:val="id-ID"/>
        </w:rPr>
      </w:pPr>
    </w:p>
    <w:p w14:paraId="5F97D844"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Interviews are a form of diagnostic assessment to identify student understanding, including misconceptions. This diagnostic method is used in 10% of the articles that have been reviewed. Through interviews, students' thinking errors can be detected in more detail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{"citationItems":[{"id":"ITEM-1","itemData":{"ISBN":"9781292041025","author":[{"dropping-particle":"","family":"Nitko","given":"Anthony J","non-dropping-particle":"","parse-names":false,"suffix":""},{"dropping-particle":"","family":"Brookhart","given":"Susan M","non-dropping-particle":"","parse-names":false,"suffix":""}],"id":"ITEM-1","issued":{"date-parts":[["2014"]]},"publisher":"Pearson Education Limited","publisher-place":"London","title":"Educational Assessment of Students","type":"book"},"uris":["http://www.mendeley.com/documents/?uuid=95a59548-05e2-426a-bee5-5af2058ef342"]}],"mendeley":{"formattedCitation":"(Nitko &amp; Brookhart, 2014)","plainTextFormattedCitation":"(Nitko &amp; Brookhart, 2014)","previouslyFormattedCitation":"(Nitko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Students' ideas and structure of conceptual understanding also can be revealed by interviews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9781416605690","author":[{"dropping-particle":"","family":"Fisher","given":"Douglas","non-dropping-particle":"","parse-names":false,"suffix":""},{"dropping-particle":"","family":"Frey","given":"Nancy","non-dropping-particle":"","parse-names":false,"suffix":""}],"id":"ITEM-1","issued":{"date-parts":[["2007"]]},"publisher":"Association for Supervision and Curriculum Development (ASCD)","publisher-place":"Alexandria, Virginia","title":"Checking for understanding: formative assessment techniques for your classroom","type":"book"},"uris":["http://www.mendeley.com/documents/?uuid=13fc2b99-c8c5-496a-ba2e-0f94bba08ce5"]},{"id":"ITEM-2","itemData":{"ISBN":"0120885344","editor":[{"dropping-particle":"","family":"Mintzes","given":"Joel J.","non-dropping-particle":"","parse-names":false,"suffix":""},{"dropping-particle":"","family":"Wandersee","given":"James H.","non-dropping-particle":"","parse-names":false,"suffix":""},{"dropping-particle":"","family":"Novak","given":"Joseph D.","non-dropping-particle":"","parse-names":false,"suffix":""}],"id":"ITEM-2","issued":{"date-parts":[["2005"]]},"publisher":"Elsevier Academic Press","publisher-place":"San Diego, California","title":"Assessing Science Understanding: A Human Constructivist View","type":"book"},"uris":["http://www.mendeley.com/documents/?uuid=b4f2bec0-fee1-4b31-9b2f-337170eaa459"]}],"mendeley":{"formattedCitation":"(Fisher &amp; Frey, 2007; Mintzes et al., 2005)","plainTextFormattedCitation":"(Fisher &amp; Frey, 2007; Mintzes et al., 2005)","previouslyFormattedCitation":"(Fisher &amp; Frey, 2007; Mintzes et al., 2005)"},"properties":{"noteIndex":0},"schema":"https://github.com/citation-style-language/schema/raw/master/csl-citation.json"}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(Fisher &amp; Frey, 2007; Mintzes et al., 2005)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Because of those advantages,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Hestenes","given":"David","non-dropping-particle":"","parse-names":false,"suffix":""},{"dropping-particle":"","family":"Wells","given":"Malcolm","non-dropping-particle":"","parse-names":false,"suffix":""},{"dropping-particle":"","family":"Swackhamer","given":"Gregg","non-dropping-particle":"","parse-names":false,"suffix":""}],"container-title":"The Physics Teacher","id":"ITEM-1","issue":"March","issued":{"date-parts":[["1992"]]},"page":"141-158","title":"Force Concept Inventory","type":"article-journal","volume":"30"},"uris":["http://www.mendeley.com/documents/?uuid=85a0a0f9-df00-4982-9f0c-111184495928"]}],"mendeley":{"formattedCitation":"(Hestenes et al., 1992)","manualFormatting":"Hestenes et al. (1992)","plainTextFormattedCitation":"(Hestenes et al., 1992)","previouslyFormattedCitation":"(Hestenes et al., 1992)"},"properties":{"noteIndex":0},"schema":"https://github.com/citation-style-language/schema/raw/master/csl-citation.json"}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Hestenes et al. (1992)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said that interviews were able to confirm students' responses for revealing misconceptions. Some interview techniques that had been carried out by previous researchers are Clinical Interviews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{"citationItems":[{"id":"ITEM-1","itemData":{"DOI":"10.1080/0950069910130102","ISSN":"14645289","abstract":"This paper reports a study of senior high‐school students’ understandings of concepts related to acids and bases. The methodology was grounded on a concept mapconstructed from the curriculum. This map was used in the design of a multiple‐choice test and of clinical interviews. It was also used in the analysis of the data, and inconstructing concept maps for each participant. The methodology and the resulting analyses are illustrated with two abbreviated cases selected from the study. It is shown that these participants hold idiosyncratic concepts not consistently coincident with those of the prescribed curriculum, and that everyday concepts are retained more than are scientificconcepts. Discussion of concept mapping points to how it starkly represents gaps in the understanding of concepts that are interrelated. This feature of the methodological approach is shown to be significant to the study of students’ conceptions when the subject‐matter concepts are theoretically linked. © 1991 Taylor &amp; Francis Group, LLC.","author":[{"dropping-particle":"","family":"Ross","given":"Bertram","non-dropping-particle":"","parse-names":false,"suffix":""},{"dropping-particle":"","family":"Munby","given":"Hugh","non-dropping-particle":"","parse-names":false,"suffix":""}],"container-title":"International Journal of Science Education","id":"ITEM-1","issue":"1","issued":{"date-parts":[["1991"]]},"page":"11-23","title":"Concept mapping and misconceptions: A study of high‐school students’ understandings of acids and bases","type":"article-journal","volume":"13"},"uris":["http://www.mendeley.com/documents/?uuid=a2cf4b00-7db8-428e-88e2-c0a74aed69d0"]},{"id":"ITEM-2","itemData":{"DOI":"10.1002/sce.3730660206","ISSN":"1098237X","author":[{"dropping-particle":"","family":"Posner","given":"George J.","non-dropping-particle":"","parse-names":false,"suffix":""},{"dropping-particle":"","family":"Gertzog","given":"William A.","non-dropping-particle":"","parse-names":false,"suffix":""}],"container-title":"Science Education","id":"ITEM-2","issue":"2","issued":{"date-parts":[["1982"]]},"page":"195-209","title":"The clinical interview and the measurement of conceptual change","type":"article-journal","volume":"66"},"uris":["http://www.mendeley.com/documents/?uuid=92664232-1f4b-47ab-8277-b37522e98a7a"]}],"mendeley":{"formattedCitation":"(Posner &amp; Gertzog, 1982; Ross &amp; Munby, 1991)","plainTextFormattedCitation":"(Posner &amp; Gertzog, 1982; Ross &amp; Munby, 1991)","previouslyFormattedCitation":"(Posner &amp; Gertzog, 1982; Ross &amp; Munby, 1991)"},"properties":{"noteIndex":0},"schema":"https://github.com/citation-style-language/schema/raw/master/csl-citation.json"}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(Posner &amp; Gertzog, 1982; Ross &amp; Munby, 1991)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Interview about Instances (IAI)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{"citationItems":[{"id":"ITEM-1","itemData":{"DOI":"10.1080/0140528800020311","ISSN":"01405284","abstract":"The authors report on an ‘Interview about instances’ technique for the investigation of students’ concept understanding in science. The potential and limitations of this technique has been explored in relation to the concepts ‘work’ and ‘electric current’ in 50 trial interviews involving students over the age range seven to 18 years. Some of the findings are reported here and suggestions made for further studies using the ‘Interview about instances’ technique. © Taylor &amp; Francis Group, LLC.","author":[{"dropping-particle":"","family":"Osborne","given":"R. J.","non-dropping-particle":"","parse-names":false,"suffix":""},{"dropping-particle":"","family":"Gilbert","given":"J. K.","non-dropping-particle":"","parse-names":false,"suffix":""}],"container-title":"European Journal of Science Education","id":"ITEM-1","issue":"3","issued":{"date-parts":[["1980"]]},"page":"311-321","title":"A method for investigating concept understanding in science.","type":"article-journal","volume":"2"},"uris":["http://www.mendeley.com/documents/?uuid=ab6c5cf5-fd29-4cf5-8db6-b44c35805839"]}],"mendeley":{"formattedCitation":"(Osborne &amp; Gilbert, 1980)","plainTextFormattedCitation":"(Osborne &amp; Gilbert, 1980)","previouslyFormattedCitation":"(Osborne &amp; Gilbert, 1980)"},"properties":{"noteIndex":0},"schema":"https://github.com/citation-style-language/schema/raw/master/csl-citation.json"}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(Osborne &amp; Gilbert, 1980)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Interview about Events (IAE)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{"citationItems":[{"id":"ITEM-1","itemData":{"DOI":"10.1002/tea.3660280806","ISSN":"10982736","abstract":"The purpose of this study was to identify and characterize students' understandings about the concept of burning. Naturalistic data‐collecting strategies used in this study included participant observation and interviewing. Twenty eighth graders were interviewed using the “interview‐about‐events” technique, a variation of the Piagetian interview. The interviews were audiotape recorded, transcribed, and analyzed using the process of analytic induction. The analysis showed that students' understandings about burning were fragmented, inconsistent, and at variance with scientific knowledge. These understandings are analyzed using Olson's (1977) characterization of common sense and scientific knowledge. Copyright © 1991 Wiley Periodicals, Inc., A Wiley Company","author":[{"dropping-particle":"","family":"Boujaoude","given":"Saouma B.","non-dropping-particle":"","parse-names":false,"suffix":""}],"container-title":"Journal of Research in Science Teaching","id":"ITEM-1","issue":"8","issued":{"date-parts":[["1991"]]},"page":"689-704","title":"A study of the nature of students' understandings about the concept of burning","type":"article-journal","volume":"28"},"uris":["http://www.mendeley.com/documents/?uuid=641f68a9-a2f9-4731-a670-d3fe30438ac1"]}],"mendeley":{"formattedCitation":"(Boujaoude, 1991)","plainTextFormattedCitation":"(Boujaoude, 1991)","previouslyFormattedCitation":"(Boujaoude, 1991)"},"properties":{"noteIndex":0},"schema":"https://github.com/citation-style-language/schema/raw/master/csl-citation.json"}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(Boujaoude, 1991)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Individual Demonstration Interviews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{"citationItems":[{"id":"ITEM-1","itemData":{"DOI":"10.1119/1.15254","ISSN":"0002-9505","abstract":"Student understanding of the real images produced by converging lenses and concave mirrors was investigated both before and after instruction in geometrical optics. The primary data were gathered through interviews in which undergraduates taking introductory physics were asked to perform a set of prescribed tasks based on a simple demonstration. The criterion used to assess understanding was the ability to apply appropriate concepts and principles, including ray diagrams, to predict and explain image formation by an actual lens or mirror. Performance on the tasks, especially by students who had not had college instruction in geometrical optics, suggested the presence of certain naive conceptions. Students who had just completed the study of geometrical optics in their physics courses were frequently unable to relate the concepts, principles, and ray‐tracing techniques that had been taught in class to an actual physical system consisting of an object, a lens or a mirror, and a screen. Many students did not seem to understand the function of the lens, mirror, or screen, nor the uniqueness of the relationship among the components of the optical system. Difficulties in drawing and interpreting ray diagrams indicated inadequate understanding of the concept of a light ray and its graphical representation.","author":[{"dropping-particle":"","family":"Goldberg","given":"Fred M.","non-dropping-particle":"","parse-names":false,"suffix":""},{"dropping-particle":"","family":"McDermott","given":"Lillian C.","non-dropping-particle":"","parse-names":false,"suffix":""}],"container-title":"American Journal of Physics","id":"ITEM-1","issue":"2","issued":{"date-parts":[["1987"]]},"page":"108-119","title":"An investigation of student understanding of the real image formed by a converging lens or concave mirror","type":"article-journal","volume":"55"},"uris":["http://www.mendeley.com/documents/?uuid=0f9ffc6f-b90b-4dfe-bad5-cd284d6000b2"]},{"id":"ITEM-2","itemData":{"DOI":"10.1119/1.2342096","author":[{"dropping-particle":"","family":"Goldberg","given":"Fred M","non-dropping-particle":"","parse-names":false,"suffix":""},{"dropping-particle":"","family":"Mcdermott","given":"Lillian C","non-dropping-particle":"","parse-names":false,"suffix":""}],"container-title":"The Physics Teacher","id":"ITEM-2","issued":{"date-parts":[["1986"]]},"page":"472","title":"Student difficulties in understanding image formation by a plane mirror","type":"article-journal","volume":"24"},"uris":["http://www.mendeley.com/documents/?uuid=2c35a803-dfe3-4bcb-9210-417eedb14d78"]}],"mendeley":{"formattedCitation":"(Goldberg &amp; Mcdermott, 1986; Goldberg &amp; McDermott, 1987)","manualFormatting":"(Goldberg &amp; Mcdermott, 1986; 1987)","plainTextFormattedCitation":"(Goldberg &amp; Mcdermott, 1986; Goldberg &amp; McDermott, 1987)","previouslyFormattedCitation":"(Goldberg &amp; Mcdermott, 1986; Goldberg &amp; McDermott, 1987)"},"properties":{"noteIndex":0},"schema":"https://github.com/citation-style-language/schema/raw/master/csl-citation.json"}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(Goldberg &amp; Mcdermott, 1986; 1987)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Predict-Observe-Explain (POE)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{"citationItems":[{"id":"ITEM-1","itemData":{"author":[{"dropping-particle":"","family":"Liew","given":"C. W.","non-dropping-particle":"","parse-names":false,"suffix":""},{"dropping-particle":"","family":"Treagust","given":"D. F.","non-dropping-particle":"","parse-names":false,"suffix":""}],"container-title":"Australian Science Teachers Journal","id":"ITEM-1","issue":"1","issued":{"date-parts":[["1995"]]},"page":"68-81","title":"A predict-observe-explain teaching sequence for learning about students understand of heat and expansion of liquids","type":"article-journal","volume":"41"},"uris":["http://www.mendeley.com/documents/?uuid=d0dfd73e-d348-4a99-9263-3d7c2c3861f0"]}],"mendeley":{"formattedCitation":"(Liew &amp; Treagust, 1995)","plainTextFormattedCitation":"(Liew &amp; Treagust, 1995)","previouslyFormattedCitation":"(Liew &amp; Treagust, 1995)"},"properties":{"noteIndex":0},"schema":"https://github.com/citation-style-language/schema/raw/master/csl-citation.json"}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(Liew &amp; Treagust, 1995)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Teaching Experiment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{"citationItems":[{"id":"ITEM-1","itemData":{"DOI":"10.1080/09500690310001614717","ISSN":"09500693","abstract":"The educational potential of non-linear systems is given surprisingly little attention in science education research - at least in research that links content matter and educational issues. The project on educational reconstruction of non-linear systems at the IPN has investigated the educational significance of the referring phenomena and the effects of teaching and learning processes. In a nutshell, it has been investigated whether it is worthwhile to teach non-linear systems and whether students understand the basic ideas of these phenomena. In addition, a number of instructional modules addressing various characteristics of these systems have been developed. The work has been based on a model of educational reconstruction that, besides other issues, closely links analytical and empirical educational research with development of teaching and learning sequences. In the present paper a brief overview of the sketched project will be provided. Main emphasis, however, will be given to the teaching experiment, which has proven to be a valuable research method to investigate teaching and learning processes. Teaching experiments may be viewed as Piagetian critical interviews that are deliberately employed as teaching and learning situations. The interviewer assumes the roles of a 'classical' interviewer (who tries to understand students' understanding) and a teacher. Although the teaching experiment is a laboratory situation, it also shams major features of research in actual classrooms. Therefore, this method appears to be well suited for linking research and development in the first steps of designing teaching and learning sequences. © 2004 Taylor and Francis Ltd.","author":[{"dropping-particle":"","family":"Komorek","given":"Michael","non-dropping-particle":"","parse-names":false,"suffix":""},{"dropping-particle":"","family":"Duit","given":"Reinders","non-dropping-particle":"","parse-names":false,"suffix":""}],"container-title":"International Journal of Science Education","id":"ITEM-1","issue":"5","issued":{"date-parts":[["2004"]]},"page":"619-633","title":"The teaching experiment as a powerful method to develop and evaluate teaching and learning sequences in the domain of non-linear systems","type":"article-journal","volume":"26"},"uris":["http://www.mendeley.com/documents/?uuid=bc2d7f60-dc6b-4ffb-ba7d-f77ac19d61d5"]}],"mendeley":{"formattedCitation":"(Komorek &amp; Duit, 2004)","plainTextFormattedCitation":"(Komorek &amp; Duit, 2004)","previouslyFormattedCitation":"(Komorek &amp; Duit, 2004)"},"properties":{"noteIndex":0},"schema":"https://github.com/citation-style-language/schema/raw/master/csl-citation.json"}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(Komorek &amp; Duit, 2004)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and others.</w:t>
      </w:r>
    </w:p>
    <w:p w14:paraId="5F50A2C2"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3380E88F"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Based on the review, several articles used techniques that resembled interviews conducted by previous researchers, even though they did not mention them specifically.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{"citationItems":[{"id":"ITEM-1","itemData":{"DOI":"10.1002/tea","ISBN":"0959-4752","ISSN":"00224308","PMID":"9189908","abstract":"This study examined the impact of a professional development intervention aimed at helping elementary teachers incorporate elements of students’ home language and culture into science instruction. The intervention consisted of instructional units and materials and teacher workshops. The research involved 43 third- and fourth-grade teachers at six elementary schools in a large urban school district. These teachers participated in the intervention for 2 consecutive years. The study was conducted using both quantitative and qualitative methods based on focus group interviews, a questionnaire, and classroom observations. The results indicate that as teachers began their participation in the intervention, they rarely incorporated students’ home language or culture into science instruction. During the 2-year period of the intervention, teachers’ beliefs and practices remained relatively stable and did not show significant change. Possible explanations for the limited effectiveness of the intervention are addressed, and implications for professional development efforts are discussed.","author":[{"dropping-particle":"","family":"Paik","given":"Seoung-Hey","non-dropping-particle":"","parse-names":false,"suffix":""},{"dropping-particle":"","family":"Cho","given":"Boo-Kyung","non-dropping-particle":"","parse-names":false,"suffix":""},{"dropping-particle":"","family":"Go","given":"Young-Mi","non-dropping-particle":"","parse-names":false,"suffix":""}],"container-title":"Journal of Research in Science Teaching","id":"ITEM-1","issue":"2","issued":{"date-parts":[["2007"]]},"page":"284–302","title":"Korean 4- to 11-Year-Old Student Conceptions of Heat and Temperature","type":"article-journal","volume":"44"},"uris":["http://www.mendeley.com/documents/?uuid=b3c43764-23d0-46f7-a241-2bada5736f01"]}],"mendeley":{"formattedCitation":"(Paik, Cho, &amp; Go, 2007)","manualFormatting":"Paik et al. (2007)","plainTextFormattedCitation":"(Paik, Cho, &amp; Go, 2007)","previouslyFormattedCitation":"(Paik, Cho, &amp; Go, 2007)"},"properties":{"noteIndex":0},"schema":"https://github.com/citation-style-language/schema/raw/master/csl-citation.json"}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Paik et al. (2007)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2010.12.170","author":[{"dropping-particle":"","family":"Kele","given":"Özgül","non-dropping-particle":"","parse-names":false,"suffix":""},{"dropping-particle":"","family":"Erta","given":"Hülya","non-dropping-particle":"","parse-names":false,"suffix":""},{"dropping-particle":"","family":"Uzun","given":"Naim","non-dropping-particle":"","parse-names":false,"suffix":""},{"dropping-particle":"","family":"Cans","given":"Mustafa","non-dropping-particle":"","parse-names":false,"suffix":""}],"container-title":"Procedia Social and Behavioral Sciences","id":"ITEM-1","issued":{"date-parts":[["2010"]]},"page":"390-394","title":"The understanding levels of preservice teachers ’ of basic science concepts ' measurement units and devices , their misconceptions and its causes","type":"article-journal","volume":"9"},"uris":["http://www.mendeley.com/documents/?uuid=2af2f443-fb11-42dc-b033-c1e000b267a7"]}],"mendeley":{"formattedCitation":"(Kele, Erta, Uzun, &amp; Cans, 2010)","manualFormatting":"Kele et al. (2010)","plainTextFormattedCitation":"(Kele, Erta, Uzun, &amp; Cans, 2010)","previouslyFormattedCitation":"(Kele, Erta, Uzun, &amp; Cans, 2010)"},"properties":{"noteIndex":0},"schema":"https://github.com/citation-style-language/schema/raw/master/csl-citation.json"}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Kele et al. (2010)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and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02635143.2014.987744","author":[{"dropping-particle":"","family":"Abrahams","given":"Ian","non-dropping-particle":"","parse-names":false,"suffix":""},{"dropping-particle":"","family":"Homer","given":"Matt","non-dropping-particle":"","parse-names":false,"suffix":""},{"dropping-particle":"","family":"Sharpe","given":"Rachael","non-dropping-particle":"","parse-names":false,"suffix":""},{"dropping-particle":"","family":"Zhou","given":"Mengyuan","non-dropping-particle":"","parse-names":false,"suffix":""}],"container-title":"Research in Science &amp; Technological Education","id":"ITEM-1","issue":"1","issued":{"date-parts":[["2015"]]},"page":"111–130","title":"A comparative cross-cultural study of the prevalence and nature of misconceptions in physics amongst English and Chinese undergraduate students","type":"article-journal","volume":"33"},"uris":["http://www.mendeley.com/documents/?uuid=2c9b69ea-edbe-4982-bda8-c2820dc7f47e"]}],"mendeley":{"formattedCitation":"(Abrahams, Homer, Sharpe, &amp; Zhou, 2015)","manualFormatting":"Abrahams et al. (2015)","plainTextFormattedCitation":"(Abrahams, Homer, Sharpe, &amp; Zhou, 2015)","previouslyFormattedCitation":"(Abrahams, Homer, Sharpe, &amp; Zhou,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Abrahams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used techniques that resembled Clinical Interviews by asking participants to explain briefly their conceptual understanding of physics.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{"citationItems":[{"id":"ITEM-1","itemData":{"DOI":"10.1007/s11165-007-9038-9","ISSN":"0157244X","abstract":"Introductory electromagnetism is a central part of undergraduate physics. Although there has been some research into student conceptions of electromagnetism, studies have been sparse and separated. This study sought to explore second year physics students' conceptions of electromagnetism, to investigate to what extent the results from the present study are similar to these results from other studies, and to uncover any new forms of alternative conceptions. Data for this study came from 15 in-depth interviews. Three previously unreported alternative conceptions were identified in the study: 1) induced current varies proportionately with current in solenoid; 2) there must be contact between magnetic flux and the external coil in order for any emf to be induced in the coil; 3) coulombic or electrostatic potential difference is present in an induced electric field. These alternative conceptions were manifested in these students' explanations of electromagnetic phenomena presented to them during the interviews. © Springer Science+Business Media, Inc. 2007.","author":[{"dropping-particle":"","family":"Thong","given":"Wai Meng","non-dropping-particle":"","parse-names":false,"suffix":""},{"dropping-particle":"","family":"Gunstone","given":"Richard","non-dropping-particle":"","parse-names":false,"suffix":""}],"container-title":"Research in Science Education","id":"ITEM-1","issue":"1","issued":{"date-parts":[["2008"]]},"page":"31-44","title":"Some student conceptions of electromagnetic induction","type":"article-journal","volume":"38"},"uris":["http://www.mendeley.com/documents/?uuid=9f600c55-6c82-40fc-af1a-c0834a7be30e"]}],"mendeley":{"formattedCitation":"(Thong &amp; Gunstone, 2008)","manualFormatting":"Thong &amp; Gunstone (2008)","plainTextFormattedCitation":"(Thong &amp; Gunstone, 2008)","previouslyFormattedCitation":"(Thong &amp; Gunstone,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Thong &amp; Gunstone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asked a series of questions about electromagnetic phenomena, which resembled the IAI technique.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{"citationItems":[{"id":"ITEM-1","itemData":{"DOI":"10.1002/tea","ISBN":"0959-4752","ISSN":"00224308","PMID":"9189908","abstract":"This study examined the impact of a professional development intervention aimed at helping elementary teachers incorporate elements of students’ home language and culture into science instruction. The intervention consisted of instructional units and materials and teacher workshops. The research involved 43 third- and fourth-grade teachers at six elementary schools in a large urban school district. These teachers participated in the intervention for 2 consecutive years. The study was conducted using both quantitative and qualitative methods based on focus group interviews, a questionnaire, and classroom observations. The results indicate that as teachers began their participation in the intervention, they rarely incorporated students’ home language or culture into science instruction. During the 2-year period of the intervention, teachers’ beliefs and practices remained relatively stable and did not show significant change. Possible explanations for the limited effectiveness of the intervention are addressed, and implications for professional development efforts are discussed.","author":[{"dropping-particle":"","family":"Bell","given":"Randy L.","non-dropping-particle":"","parse-names":false,"suffix":""},{"dropping-particle":"","family":"Trundle","given":"Kathy Cabe","non-dropping-particle":"","parse-names":false,"suffix":""}],"container-title":"Journal of Research in Science Teaching","id":"ITEM-1","issue":"3","issued":{"date-parts":[["2008"]]},"page":"346–372","title":"The Use of a Computer Simulation to Promote Scientific Conceptions of Moon Phases","type":"article-journal","volume":"45"},"uris":["http://www.mendeley.com/documents/?uuid=a6916a4d-eb23-45f2-9b3d-8bac46890048"]}],"mendeley":{"formattedCitation":"(Bell &amp; Trundle, 2008)","manualFormatting":"Bell &amp; Trundle (2008)","plainTextFormattedCitation":"(Bell &amp; Trundle, 2008)","previouslyFormattedCitation":"(Bell &amp; Trundle,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Bell &amp; Trundle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asked participants to predict, observe the results of computer simulations, and explain the occurrence of these phenomena, in which the whole set of questions resembled the POE technique. Any challenges must be faced in the interviews, including a long time to obtain and analyze data, and require interviewing skills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{"citationItems":[{"id":"ITEM-1","itemData":{"ISBN":"0120885344","editor":[{"dropping-particle":"","family":"Mintzes","given":"Joel J.","non-dropping-particle":"","parse-names":false,"suffix":""},{"dropping-particle":"","family":"Wandersee","given":"James H.","non-dropping-particle":"","parse-names":false,"suffix":""},{"dropping-particle":"","family":"Novak","given":"Joseph D.","non-dropping-particle":"","parse-names":false,"suffix":""}],"id":"ITEM-1","issued":{"date-parts":[["2005"]]},"publisher":"Elsevier Academic Press","publisher-place":"San Diego, California","title":"Assessing Science Understanding: A Human Constructivist View","type":"book"},"uris":["http://www.mendeley.com/documents/?uuid=b4f2bec0-fee1-4b31-9b2f-337170eaa459"]},{"id":"ITEM-2","itemData":{"ISBN":"9781292041025","author":[{"dropping-particle":"","family":"Nitko","given":"Anthony J","non-dropping-particle":"","parse-names":false,"suffix":""},{"dropping-particle":"","family":"Brookhart","given":"Susan M","non-dropping-particle":"","parse-names":false,"suffix":""}],"id":"ITEM-2","issued":{"date-parts":[["2014"]]},"publisher":"Pearson Education Limited","publisher-place":"London","title":"Educational Assessment of Students","type":"book"},"uris":["http://www.mendeley.com/documents/?uuid=95a59548-05e2-426a-bee5-5af2058ef342"]},{"id":"ITEM-3","itemData":{"ISBN":"9781416605690","author":[{"dropping-particle":"","family":"Fisher","given":"Douglas","non-dropping-particle":"","parse-names":false,"suffix":""},{"dropping-particle":"","family":"Frey","given":"Nancy","non-dropping-particle":"","parse-names":false,"suffix":""}],"id":"ITEM-3","issued":{"date-parts":[["2007"]]},"publisher":"Association for Supervision and Curriculum Development (ASCD)","publisher-place":"Alexandria, Virginia","title":"Checking for understanding: formative assessment techniques for your classroom","type":"book"},"uris":["http://www.mendeley.com/documents/?uuid=13fc2b99-c8c5-496a-ba2e-0f94bba08ce5"]}],"mendeley":{"formattedCitation":"(Fisher &amp; Frey, 2007; Mintzes et al., 2005; Nitko &amp; Brookhart, 2014)","plainTextFormattedCitation":"(Fisher &amp; Frey, 2007; Mintzes et al., 2005; Nitko &amp; Brookhart, 2014)","previouslyFormattedCitation":"(Fisher &amp; Frey, 2007; Mintzes et al., 2005; Nitko &amp; Brookhart,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(Fisher &amp; Frey, 2007; Mintzes et al., 2005; Nitko &amp; Brookhart,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If the results will be generalized, then interviews require a large number of participants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et al., 2015)","plainTextFormattedCitation":"(Kaltakci-Gurel et al., 2015)","previouslyFormattedCitation":"(Kaltakci-Gurel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power of interviews is being able to get in-depth information, even being able to find facts (misconceptions) that were unexpected before, such as the findings of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{"citationItems":[{"id":"ITEM-1","itemData":{"DOI":"10.1007/s11165-007-9038-9","ISSN":"0157244X","abstract":"Introductory electromagnetism is a central part of undergraduate physics. Although there has been some research into student conceptions of electromagnetism, studies have been sparse and separated. This study sought to explore second year physics students' conceptions of electromagnetism, to investigate to what extent the results from the present study are similar to these results from other studies, and to uncover any new forms of alternative conceptions. Data for this study came from 15 in-depth interviews. Three previously unreported alternative conceptions were identified in the study: 1) induced current varies proportionately with current in solenoid; 2) there must be contact between magnetic flux and the external coil in order for any emf to be induced in the coil; 3) coulombic or electrostatic potential difference is present in an induced electric field. These alternative conceptions were manifested in these students' explanations of electromagnetic phenomena presented to them during the interviews. © Springer Science+Business Media, Inc. 2007.","author":[{"dropping-particle":"","family":"Thong","given":"Wai Meng","non-dropping-particle":"","parse-names":false,"suffix":""},{"dropping-particle":"","family":"Gunstone","given":"Richard","non-dropping-particle":"","parse-names":false,"suffix":""}],"container-title":"Research in Science Education","id":"ITEM-1","issue":"1","issued":{"date-parts":[["2008"]]},"page":"31-44","title":"Some student conceptions of electromagnetic induction","type":"article-journal","volume":"38"},"uris":["http://www.mendeley.com/documents/?uuid=9f600c55-6c82-40fc-af1a-c0834a7be30e"]}],"mendeley":{"formattedCitation":"(Thong &amp; Gunstone, 2008)","manualFormatting":"Thong &amp; Gunstone (2008)","plainTextFormattedCitation":"(Thong &amp; Gunstone, 2008)","previouslyFormattedCitation":"(Thong &amp; Gunstone,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Thong &amp; Gunstone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736687FE"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3F7C1781"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Multiple-Tier Tests (MTT) develops from two-tier tests (2TT), three-tier tests (3TT), and four-tier tests (4TT). The basic structure of the three types of MTT alike with MCT. There are conceptual questions along with the reasons for answers, including the questions to the answer confidence. All types of MTT have advantages such as MCT: time efficiency, fast and objective scoring, and easy for employing in a large number of participants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et al., 2015)","plainTextFormattedCitation":"(Kaltakci-Gurel et al., 2015)","previouslyFormattedCitation":"(Kaltakci-Gurel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challenges while preparing MTT also alike with MCT, which is for determining the distractors. While the weaknesses of MTT are different for each type. The researchers who utilize MTT based on this study, are shown in Appendix 1.</w:t>
      </w:r>
    </w:p>
    <w:p w14:paraId="169E9000"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5C070533"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lastRenderedPageBreak/>
        <w:t xml:space="preserve">The first type of MTT is 2TT. That consists of the first tier in the form of conceptual questions (content) and the second tier is the reason for the answer in the first tier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{"citationItems":[{"id":"ITEM-1","itemData":{"ISBN":"0120885344","editor":[{"dropping-particle":"","family":"Mintzes","given":"Joel J.","non-dropping-particle":"","parse-names":false,"suffix":""},{"dropping-particle":"","family":"Wandersee","given":"James H.","non-dropping-particle":"","parse-names":false,"suffix":""},{"dropping-particle":"","family":"Novak","given":"Joseph D.","non-dropping-particle":"","parse-names":false,"suffix":""}],"id":"ITEM-1","issued":{"date-parts":[["2005"]]},"publisher":"Elsevier Academic Press","publisher-place":"San Diego, California","title":"Assessing Science Understanding: A Human Constructivist View","type":"book"},"uris":["http://www.mendeley.com/documents/?uuid=b4f2bec0-fee1-4b31-9b2f-337170eaa459"]},{"id":"ITEM-2","itemData":{"author":[{"dropping-particle":"","family":"Treagust","given":"David","non-dropping-particle":"","parse-names":false,"suffix":""}],"container-title":"Research in Science Education","id":"ITEM-2","issued":{"date-parts":[["1986"]]},"page":"199-207","title":"Evaluating students' misconceptions by means of diagnostic multiple choice items","type":"article-journal","volume":"16"},"uris":["http://www.mendeley.com/documents/?uuid=079b8190-621a-434c-97c8-ef794b824792"]},{"id":"ITEM-3","itemData":{"DOI":"10.1080/09500690110038549","ISSN":"09500693","abstract":"The goal of this study was to understand how six college biology students complete the tasks of a traditional paper and pencil instrument designed to detect alternative conceptions about photosynthesis. Participants responded to relevant items in a two-tier diagnostic instrument in a think-aloud task. Responses to the traditional content question (first tier) were correct more often than reasons (second tier). However the participants' verbal data indicated that they relied upon test-taking strategies, not retrieval from memory, to choose their reasons. Some distractors caused participants to accept incorrect propositions being considered for the first time (rather than eliciting a misconception from extant knowledge). They also considered relevant exceptions and subtle language cues that justified their choices of incorrect reasons. Participants voiced concerns about the conscientiousness with which students complete such instruments. These findings raise concerns about the validity of using such instruments for diagnosing alternative conceptions.","author":[{"dropping-particle":"","family":"Griffard","given":"Phyllis Baudoin","non-dropping-particle":"","parse-names":false,"suffix":""},{"dropping-particle":"","family":"Wandersee","given":"James H.","non-dropping-particle":"","parse-names":false,"suffix":""}],"container-title":"International Journal of Science Education","id":"ITEM-3","issue":"10","issued":{"date-parts":[["2001"]]},"page":"1039-1052","title":"The two-tier instrument on photosynthesis: What does it diagnose?","type":"article-journal","volume":"23"},"uris":["http://www.mendeley.com/documents/?uuid=8dd7dffd-eb5b-4d60-aa30-c956383dc9e7"]}],"mendeley":{"formattedCitation":"(Griffard &amp; Wandersee, 2001; Mintzes et al., 2005; D. Treagust, 1986)","manualFormatting":"(Griffard &amp; Wandersee, 2001; Mintzes et al., 2005; Treagust, 1986)","plainTextFormattedCitation":"(Griffard &amp; Wandersee, 2001; Mintzes et al., 2005; D. Treagust, 1986)","previouslyFormattedCitation":"(Griffard &amp; Wandersee, 2001; Mintzes et al., 2005; D. Treagust, 1986)"},"properties":{"noteIndex":0},"schema":"https://github.com/citation-style-language/schema/raw/master/csl-citation.json"}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(Griffard &amp; Wandersee, 2001; Mintzes et al., 2005; Treagust, 1986)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Two-tier tests were first published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{"citationItems":[{"id":"ITEM-1","itemData":{"author":[{"dropping-particle":"","family":"Treagust","given":"David","non-dropping-particle":"","parse-names":false,"suffix":""}],"container-title":"Research in Science Education","id":"ITEM-1","issued":{"date-parts":[["1986"]]},"page":"199-207","title":"Evaluating students' misconceptions by means of diagnostic multiple choice items","type":"article-journal","volume":"16"},"uris":["http://www.mendeley.com/documents/?uuid=079b8190-621a-434c-97c8-ef794b824792"]}],"mendeley":{"formattedCitation":"(D. Treagust, 1986)","manualFormatting":"Treagust (1986)","plainTextFormattedCitation":"(D. Treagust, 1986)","previouslyFormattedCitation":"(D. Treagust, 1986)"},"properties":{"noteIndex":0},"schema":"https://github.com/citation-style-language/schema/raw/master/csl-citation.json"}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Treagust (1986)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which was then succeeded by many misconception researchers. As a preliminary test, 2TT can quickly identify misconceptions for planning proper learning.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{"citationItems":[{"id":"ITEM-1","itemData":{"DOI":"10.1080/09500690110038549","ISSN":"09500693","abstract":"The goal of this study was to understand how six college biology students complete the tasks of a traditional paper and pencil instrument designed to detect alternative conceptions about photosynthesis. Participants responded to relevant items in a two-tier diagnostic instrument in a think-aloud task. Responses to the traditional content question (first tier) were correct more often than reasons (second tier). However the participants' verbal data indicated that they relied upon test-taking strategies, not retrieval from memory, to choose their reasons. Some distractors caused participants to accept incorrect propositions being considered for the first time (rather than eliciting a misconception from extant knowledge). They also considered relevant exceptions and subtle language cues that justified their choices of incorrect reasons. Participants voiced concerns about the conscientiousness with which students complete such instruments. These findings raise concerns about the validity of using such instruments for diagnosing alternative conceptions.","author":[{"dropping-particle":"","family":"Griffard","given":"Phyllis Baudoin","non-dropping-particle":"","parse-names":false,"suffix":""},{"dropping-particle":"","family":"Wandersee","given":"James H.","non-dropping-particle":"","parse-names":false,"suffix":""}],"container-title":"International Journal of Science Education","id":"ITEM-1","issue":"10","issued":{"date-parts":[["2001"]]},"page":"1039-1052","title":"The two-tier instrument on photosynthesis: What does it diagnose?","type":"article-journal","volume":"23"},"uris":["http://www.mendeley.com/documents/?uuid=8dd7dffd-eb5b-4d60-aa30-c956383dc9e7"]}],"mendeley":{"formattedCitation":"(Griffard &amp; Wandersee, 2001)","manualFormatting":"Griffard &amp; Wandersee (2001)","plainTextFormattedCitation":"(Griffard &amp; Wandersee, 2001)","previouslyFormattedCitation":"(Griffard &amp; Wandersee, 2001)"},"properties":{"noteIndex":0},"schema":"https://github.com/citation-style-language/schema/raw/master/csl-citation.json"}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Griffard &amp; Wandersee (2001)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evaluated the use of 2TT for diagnosing misconceptions and obtaining several weaknesses. Since each tier of 2TT is multiple-choice, there are indications that the participant uses the choice of reasoning (in the second tier) by guessing. So it cannot be determined whether the participants have conceptual understandings as a whole (lack of knowledge) or occurring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{"citationItems":[{"id":"ITEM-1","itemData":{"DOI":"10.1080/09500690110038549","ISSN":"09500693","abstract":"The goal of this study was to understand how six college biology students complete the tasks of a traditional paper and pencil instrument designed to detect alternative conceptions about photosynthesis. Participants responded to relevant items in a two-tier diagnostic instrument in a think-aloud task. Responses to the traditional content question (first tier) were correct more often than reasons (second tier). However the participants' verbal data indicated that they relied upon test-taking strategies, not retrieval from memory, to choose their reasons. Some distractors caused participants to accept incorrect propositions being considered for the first time (rather than eliciting a misconception from extant knowledge). They also considered relevant exceptions and subtle language cues that justified their choices of incorrect reasons. Participants voiced concerns about the conscientiousness with which students complete such instruments. These findings raise concerns about the validity of using such instruments for diagnosing alternative conceptions.","author":[{"dropping-particle":"","family":"Griffard","given":"Phyllis Baudoin","non-dropping-particle":"","parse-names":false,"suffix":""},{"dropping-particle":"","family":"Wandersee","given":"James H.","non-dropping-particle":"","parse-names":false,"suffix":""}],"container-title":"International Journal of Science Education","id":"ITEM-1","issue":"10","issued":{"date-parts":[["2001"]]},"page":"1039-1052","title":"The two-tier instrument on photosynthesis: What does it diagnose?","type":"article-journal","volume":"23"},"uris":["http://www.mendeley.com/documents/?uuid=8dd7dffd-eb5b-4d60-aa30-c956383dc9e7"]},{"id":"ITEM-2","itemData":{"DOI":"10.12973/eurasia.2015.1369a","ISSN":"13058223","abstract":"Different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Education","id":"ITEM-2","issue":"5","issued":{"date-parts":[["2015"]]},"page":"989-1008","title":"A review and comparison of diagnostic instruments to identify students' misconceptions in science","type":"article-journal","volume":"11"},"uris":["http://www.mendeley.com/documents/?uuid=4e8b9c0d-8fb9-4bba-a2dc-8c810c143d88"]}],"mendeley":{"formattedCitation":"(Griffard &amp; Wandersee, 2001; Kaltakci-Gurel et al., 2015)","plainTextFormattedCitation":"(Griffard &amp; Wandersee, 2001; Kaltakci-Gurel et al., 2015)","previouslyFormattedCitation":"(Griffard &amp; Wandersee, 2001; 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(Griffard &amp; Wandersee, 2001; 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misconception diagnosis using 2TT might not represent the authentic thinking of students because alternative answers have been prepared by answer items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{"citationItems":[{"id":"ITEM-1","itemData":{"DOI":"10.1080/09500690601073210","ISSN":"09500693","abstract":"The purpose of this 4-year research study was to develop paper-and-pencil tests that could be administered to a wide range of students in order to establish a database about students' physics conceptions from elementary school to high school levels in Taiwan. The students' misconceptions of mechanics, electricity and magnetism, heat, sound and wave, and optics were diagnosed. In the beginning of this study, we extensively reviewed the research literature on related conceptions. With the use of concept maps and related propositional statements, we also interviewed some students to find out their conceptual understanding of the selected key concepts. These data provided sufficient information about students' thoughts of several concepts. Through a process of developing two-tier test items, nine versions of physics questionnaires were obtained. More than 13,000 students were randomly sampled in a national survey. After data analysis, the results indicated that students' misconceptions in physics such as the image formed by lenses and mirrors and the torque and rotational motion were consistent with their ages. However, in some cases, such as the current in an electric circuit, students' understandings of concepts did not improve with age.","author":[{"dropping-particle":"","family":"Chang","given":"Huey Por","non-dropping-particle":"","parse-names":false,"suffix":""},{"dropping-particle":"","family":"Chen","given":"Jun Yi","non-dropping-particle":"","parse-names":false,"suffix":""},{"dropping-particle":"","family":"Guo","given":"Chorng Jee","non-dropping-particle":"","parse-names":false,"suffix":""},{"dropping-particle":"","family":"Chen","given":"Chung Chih","non-dropping-particle":"","parse-names":false,"suffix":""},{"dropping-particle":"","family":"Chang","given":"Ching Yi","non-dropping-particle":"","parse-names":false,"suffix":""},{"dropping-particle":"","family":"Lin","given":"Shean Huei","non-dropping-particle":"","parse-names":false,"suffix":""},{"dropping-particle":"","family":"Su","given":"Wei Jou","non-dropping-particle":"","parse-names":false,"suffix":""},{"dropping-particle":"Der","family":"Lain","given":"Kuen","non-dropping-particle":"","parse-names":false,"suffix":""},{"dropping-particle":"","family":"Hsu","given":"Shun Yi","non-dropping-particle":"","parse-names":false,"suffix":""},{"dropping-particle":"","family":"Lin","given":"Jang Long","non-dropping-particle":"","parse-names":false,"suffix":""},{"dropping-particle":"","family":"Chen","given":"Chin Chang","non-dropping-particle":"","parse-names":false,"suffix":""},{"dropping-particle":"","family":"Cheng","given":"Yi Ting","non-dropping-particle":"","parse-names":false,"suffix":""},{"dropping-particle":"","family":"Wang","given":"Loung Shyi","non-dropping-particle":"","parse-names":false,"suffix":""},{"dropping-particle":"","family":"Tseng","given":"Yaw Teng","non-dropping-particle":"","parse-names":false,"suffix":""}],"container-title":"International Journal of Science Education","id":"ITEM-1","issue":"4","issued":{"date-parts":[["2007"]]},"page":"465-482","title":"Investigating primary and secondary student's learning of physics concepts in Taiwan","type":"article-journal","volume":"29"},"uris":["http://www.mendeley.com/documents/?uuid=df3cc3c5-8815-4faf-9543-37fcce870296"]}],"mendeley":{"formattedCitation":"(Chang et al., 2007)","plainTextFormattedCitation":"(Chang et al., 2007)","previouslyFormattedCitation":"(Chang et al., 2007)"},"properties":{"noteIndex":0},"schema":"https://github.com/citation-style-language/schema/raw/master/csl-citation.json"}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(Chang et al., 2007)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145F4E05"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2740DD26"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second type of MTT is 3TT developed for covering the 2TT weaknesses. The lack of knowledge and misconception (overestimate judgment) inadequate to differentiate by 2TT. Interviews must be conveyed to verify answers for specifying the lack of knowledge and misconception. Interviews are inefficient because it needs a longer time for diagnosing. Instead of interviewing, one more tier was added using the Certainty Response Index (CRI). CRI was used for verifying the participant's confidence in answers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{"citationItems":[{"id":"ITEM-1","itemData":{"DOI":"10.1080/00220670903383002","author":[{"dropping-particle":"","family":"Pesman","given":"Haki","non-dropping-particle":"","parse-names":false,"suffix":""},{"dropping-particle":"","family":"Eryilmaz","given":"A L I","non-dropping-particle":"","parse-names":false,"suffix":""}],"container-title":"The Journal of Educational Research","id":"ITEM-1","issued":{"date-parts":[["2010"]]},"page":"208-222","title":"Development of a Three-Tier Test to Assess Misconceptions About Simple Electric Circuits","type":"article-journal","volume":"103"},"uris":["http://www.mendeley.com/documents/?uuid=339ed55b-4ac0-4e87-9755-f47fc4f0deda"]}],"mendeley":{"formattedCitation":"(Pesman &amp; Eryilmaz, 2010)","plainTextFormattedCitation":"(Pesman &amp; Eryilmaz, 2010)","previouslyFormattedCitation":"(Pesman &amp; Eryilmaz, 2010)"},"properties":{"noteIndex":0},"schema":"https://github.com/citation-style-language/schema/raw/master/csl-citation.json"}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(Pesman &amp; Eryilmaz, 2010)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If the participant answers confidently with the wrong answer on the first or second tier, then it can be said to be a misconception, but if not sure, it is called a lack of knowledge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2011.04.036","ISSN":"1877-0428","author":[{"dropping-particle":"","family":"Turgut","given":"Ümit","non-dropping-particle":"","parse-names":false,"suffix":""},{"dropping-particle":"","family":"Gürbüz","given":"Fatih","non-dropping-particle":"","parse-names":false,"suffix":""},{"dropping-particle":"","family":"Turgut","given":"Güven","non-dropping-particle":"","parse-names":false,"suffix":""}],"container-title":"Procedia Social and Behavioral Sciences","id":"ITEM-1","issued":{"date-parts":[["2011"]]},"page":"1965-1971","publisher":"Elsevier B.V.","title":"An investigation 10 th grade students ’ misconceptions about electric current","type":"article-journal","volume":"15"},"uris":["http://www.mendeley.com/documents/?uuid=2be902de-58da-4849-889a-df84075455ad"]}],"mendeley":{"formattedCitation":"(Turgut, Gürbüz, &amp; Turgut, 2011)","manualFormatting":"(Turgut et al., 2011)","plainTextFormattedCitation":"(Turgut, Gürbüz, &amp; Turgut, 2011)","previouslyFormattedCitation":"(Turgut, Gürbüz, &amp; Turgut, 2011)"},"properties":{"noteIndex":0},"schema":"https://github.com/citation-style-language/schema/raw/master/csl-citation.json"}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(Turgut et al., 2011)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difference between misconception and lack of knowledge in the participant already be recognized by 3TT. There are still assuming any errors because maybe the participant beliefs of answers are not the same in both tiers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Education","id":"ITEM-1","issue":"5","issued":{"date-parts":[["2015"]]},"page":"989-1008","title":"A review and comparison of diagnostic instruments to identify students' misconceptions in science","type":"article-journal","volume":"11"},"uris":["http://www.mendeley.com/documents/?uuid=4e8b9c0d-8fb9-4bba-a2dc-8c810c143d88"]}],"mendeley":{"formattedCitation":"(Kaltakci-Gurel et al., 2015)","plainTextFormattedCitation":"(Kaltakci-Gurel et al., 2015)","previouslyFormattedCitation":"(Kaltakci-Gurel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first tier answer could be sure but the reason in the second tier is not sure, or vice versa.</w:t>
      </w:r>
    </w:p>
    <w:p w14:paraId="7E70D1A5"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492794C9"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Based on the lack of 3TT, the third type of MTT has been developed to add one tier more. 4TT eliminates the overestimate judgment category of a lack of knowledge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02635143.2017.1310094","ISSN":"0263-5143","author":[{"dropping-particle":"","family":"Kaltakci-gurel","given":"Derya","non-dropping-particle":"","parse-names":false,"suffix":""},{"dropping-particle":"","family":"Eryilmaz","given":"Ali","non-dropping-particle":"","parse-names":false,"suffix":""},{"dropping-particle":"","family":"Mcdermott","given":"Lillian Christie","non-dropping-particle":"","parse-names":false,"suffix":""}],"container-title":"Research in Science &amp; Technological Education","id":"ITEM-1","issue":"2","issued":{"date-parts":[["2017"]]},"page":"238-260","publisher":"Routledge","title":"Development and application of a four-tier test to assess pre-service physics teachers’ misconceptions about geometrical optics","type":"article-journal","volume":"35"},"uris":["http://www.mendeley.com/documents/?uuid=23981d15-9942-41c9-8723-15e81e54279d"]}],"mendeley":{"formattedCitation":"(Kaltakci-gurel, Eryilmaz, &amp; Mcdermott, 2017)","manualFormatting":"(Kaltakci-gurel et al., 2017)","plainTextFormattedCitation":"(Kaltakci-gurel, Eryilmaz, &amp; Mcdermott, 2017)","previouslyFormattedCitation":"(Kaltakci-gurel, Eryilmaz, &amp; Mcdermott,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first tier is MCT with a distractor that leads to misconceptions. The second tier confirms the answer's confidence in the first tier. The third tier is the MCT reason for the answer in the first tier. The fourth tier confirms the confidence of the answer to the third tier. Misconceptions were shown if the students' answer of the first tier was "wrong", the second tier was "sure", the third tier was "wrong", and the fourth tier was "sure"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{"citationItems":[{"id":"ITEM-1","itemData":{"DOI":"10.12973/tused.10269a","author":[{"dropping-particle":"","family":"Kaniawati","given":"Ida","non-dropping-particle":"","parse-names":false,"suffix":""},{"dropping-particle":"","family":"Fratiwi","given":"Nuzulira Janeusse","non-dropping-particle":"","parse-names":false,"suffix":""},{"dropping-particle":"","family":"Danawan","given":"Agus","non-dropping-particle":"","parse-names":false,"suffix":""},{"dropping-particle":"","family":"Suyana","given":"Iyon","non-dropping-particle":"","parse-names":false,"suffix":""}],"container-title":"Journal of Turkish Science Education","id":"ITEM-1","issue":"1","issued":{"date-parts":[["2019"]]},"page":"110-122","title":"Analyzing Students’ Misconceptions about Newton’s Laws through Four-Tier Newtonian Test (FTNT)","type":"article-journal","volume":"16"},"uris":["http://www.mendeley.com/documents/?uuid=e6ded2cc-9229-4023-a19f-2363dc39b618"]},{"id":"ITEM-2","itemData":{"DOI":"10.1080/02635143.2017.1310094","ISSN":"0263-5143","author":[{"dropping-particle":"","family":"Kaltakci-gurel","given":"Derya","non-dropping-particle":"","parse-names":false,"suffix":""},{"dropping-particle":"","family":"Eryilmaz","given":"Ali","non-dropping-particle":"","parse-names":false,"suffix":""},{"dropping-particle":"","family":"Mcdermott","given":"Lillian Christie","non-dropping-particle":"","parse-names":false,"suffix":""}],"container-title":"Research in Science &amp; Technological Education","id":"ITEM-2","issue":"2","issued":{"date-parts":[["2017"]]},"page":"238-260","publisher":"Routledge","title":"Development and application of a four-tier test to assess pre-service physics teachers’ misconceptions about geometrical optics","type":"article-journal","volume":"35"},"uris":["http://www.mendeley.com/documents/?uuid=23981d15-9942-41c9-8723-15e81e54279d"]},{"id":"ITEM-3","itemData":{"DOI":"10.12973/eurasia.2015.1369a","ISSN":"13058223","abstract":"Different diagnostic tools have been developed and used by researchers to identify students' conceptions. The present study aimed to provide an overview of the common diagnostic instruments in science to assess students' misconceptions. Also the study provides a brief comparison of these common diagnostic instruments with their strengths and weaknesses. A total of 273 articles published (from the year 1980 to 2014) in main journals were investigated thoroughly through document analysis method. The study reveals interviews (53%), open-ended tests (34%), multiple-choice tests (32%) and multiple tier tests (13%) as the most commonly used diagnostic tools. However, each tool has some advantages as well as disadvantages over the others that should be kept in mind in their usages. A careful user of a diagnostic instrument such as a classroom teacher or a researcher would be aware of the diagnostic instruments and selects the most effective one for his/her purposes.","author":[{"dropping-particle":"","family":"Kaltakci-Gurel","given":"Derya","non-dropping-particle":"","parse-names":false,"suffix":""},{"dropping-particle":"","family":"Eryilmaz","given":"Ali","non-dropping-particle":"","parse-names":false,"suffix":""},{"dropping-particle":"","family":"McDermott","given":"Lillian Christie","non-dropping-particle":"","parse-names":false,"suffix":""}],"container-title":"Eurasia Journal of Mathematics, Science and Technology Education","id":"ITEM-3","issue":"5","issued":{"date-parts":[["2015"]]},"page":"989-1008","title":"A review and comparison of diagnostic instruments to identify students' misconceptions in science","type":"article-journal","volume":"11"},"uris":["http://www.mendeley.com/documents/?uuid=4e8b9c0d-8fb9-4bba-a2dc-8c810c143d88"]}],"mendeley":{"formattedCitation":"(Kaltakci-gurel et al., 2017; Kaltakci-Gurel et al., 2015; Kaniawati, Fratiwi, Danawan, &amp; Suyana, 2019)","manualFormatting":"(Kaltakci-gurel et al., 2015; 2017; Kaniawati et al., 2019)","plainTextFormattedCitation":"(Kaltakci-gurel et al., 2017; Kaltakci-Gurel et al., 2015; Kaniawati, Fratiwi, Danawan, &amp; Suyana, 2019)","previouslyFormattedCitation":"(Kaltakci-gurel et al., 2017; Kaltakci-Gurel et al., 2015; Kaniawati, Fratiwi, Danawan, &amp; Suyana,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(Kaltakci-gurel et al., 2015; 2017; Kaniawati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Thus 4TT was claimed to provide the most valid misconception judgment than 3TT and 2TT. In general, the development of 4TT has the same challenges as MCT when arranging distractors both in the first tier and third tier. That can be performed by studying literature about misconceptions that have been discovered or conducting initial diagnosis through interviews and open-ended tests.</w:t>
      </w:r>
    </w:p>
    <w:p w14:paraId="0E83C7F4"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709A8273"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b/>
          <w:bCs/>
          <w:i/>
          <w:iCs/>
          <w:sz w:val="22"/>
          <w:szCs w:val="22"/>
          <w:lang w:val="id-ID"/>
        </w:rPr>
        <w:t>Causes of Misconception</w:t>
      </w:r>
    </w:p>
    <w:p w14:paraId="728B796C"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Misconceptions become a barrier to learning physics to achieve scientific conceptions. Besides focusing on the way of diagnosis, researchers must also investigate the causes or factors that contribute to students' misconceptions. Four main factors cause misconceptions, particularly the characteristics of teaching materials, teachers, students, and reference books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{"citationItems":[{"id":"ITEM-1","itemData":{"DOI":"10.1002/tea.21375","ISSN":"10982736","abstract":"This study aims to identify students’ misconceptions regarding covalent bonds. Seventy-seven graduate students in the middle of Indonesia participated in the study. Data were collected in three stages. First, misconceptions were identified by using the Semi Open Diagnostic Test. Ten students who experienced the worst misconceptions were interviewed. Lastly, textbooks were reviewed. Content analysis was used to analyze the misconception data. We identified eight primary misconceptions, namely: (i) a covalent bond is formed between two atoms with a pair of free electrons; (ii) each atom in a stable molecule must follow the octet rules; (iii) a covalent bond is polar if the electron affinity of two bonded atoms is different; (iv) the form of the molecule depends on the number of atoms bonded to the central atom; (v) nonpolar molecules have a dipole moment µ &gt; 0; (vi) all bonds in polar molecules are polar, while all bonds in non-polar molecules are non-polar; (vii) the number of bonds depends on the electronegativity of the atoms; and (viii) bond length depends on the type of bond. The main causes of student misconceptions are as follows: (i) incomplete information; (ii) difficulty understanding basic concepts regarding covalent bonds; and (iii) lack of effective communication between students and teachers. The results suggested the following implications for teaching: the teacher should identify misconceptions about prior knowledge or concepts prior to teaching the basics, identify reference book learning, and facilitate effective communication so that information received by the student is complete and correct. © 2016 Wiley Periodicals, Inc. J Res Sci Teach 54: 520–537, 2017.","author":[{"dropping-particle":"","family":"Erman","given":"Erman","non-dropping-particle":"","parse-names":false,"suffix":""}],"container-title":"Journal of Research in Science Teaching","id":"ITEM-1","issue":"4","issued":{"date-parts":[["2017"]]},"page":"520-537","title":"Factors contributing to students’ misconceptions in learning covalent bonds","type":"article-journal","volume":"54"},"uris":["http://www.mendeley.com/documents/?uuid=3761dd00-c1a9-4faf-9d13-43179381d36a"]}],"mendeley":{"formattedCitation":"(Erman, 2017)","plainTextFormattedCitation":"(Erman, 2017)","previouslyFormattedCitation":"(Erman, 2017)"},"properties":{"noteIndex":0},"schema":"https://github.com/citation-style-language/schema/raw/master/csl-citation.json"}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(Erman, 2017)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10.1088/1742-6596/1280/5/052060","author":[{"dropping-particle":"","family":"Halim","given":"A","non-dropping-particle":"","parse-names":false,"suffix":""},{"dropping-particle":"","family":"Lestari","given":"D","non-dropping-particle":"","parse-names":false,"suffix":""},{"dropping-particle":"","family":"Mustafa","given":"","non-dropping-particle":"","parse-names":false,"suffix":""}],"container-title":"J. Phys.: Conf. Ser.","id":"ITEM-1","issued":{"date-parts":[["2019"]]},"page":"052060","title":"Identification of the causes of misconception on the concept of dynamic electricity","type":"article-journal","volume":"1280"},"uris":["http://www.mendeley.com/documents/?uuid=33ab430b-d72c-4d84-8f13-b28b49432809"]}],"mendeley":{"formattedCitation":"(Halim, Lestari, &amp; Mustafa, 2019)","manualFormatting":"Halim et al. (2019)","plainTextFormattedCitation":"(Halim, Lestari, &amp; Mustafa, 2019)","previouslyFormattedCitation":"(Halim, Lestari, &amp; Mustafa,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Halim et al.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states that students, teachers, and teaching methods are the three main causes of </w:t>
      </w:r>
      <w:r w:rsidRPr="00AD23CC">
        <w:rPr>
          <w:rFonts w:ascii="Calibri" w:eastAsia="Calibri" w:hAnsi="Calibri" w:cs="Arial"/>
          <w:sz w:val="22"/>
          <w:szCs w:val="22"/>
          <w:lang w:val="id-ID"/>
        </w:rPr>
        <w:lastRenderedPageBreak/>
        <w:t xml:space="preserve">misconception. Other beliefs about the factors that cause misconceptions are everyday experiences, language used, teachers, and textbooks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Widiyatmoko","given":"Arif","non-dropping-particle":"","parse-names":false,"suffix":""},{"dropping-particle":"","family":"Shimizu","given":"Kinya","non-dropping-particle":"","parse-names":false,"suffix":""}],"container-title":"International Journal of Environmental and Science Education","id":"ITEM-1","issue":"10","issued":{"date-parts":[["2018"]]},"page":"853-863","title":"Literature Review of Factors Contributing to Students ’ Misconceptions in Light and Optical Instruments","type":"article-journal","volume":"13"},"uris":["http://www.mendeley.com/documents/?uuid=7d095431-5274-4acd-a85d-ee139a2eed72"]}],"mendeley":{"formattedCitation":"(Widiyatmoko &amp; Shimizu, 2018)","plainTextFormattedCitation":"(Widiyatmoko &amp; Shimizu, 2018)","previouslyFormattedCitation":"(Widiyatmoko &amp; Shimizu, 2018)"},"properties":{"noteIndex":0},"schema":"https://github.com/citation-style-language/schema/raw/master/csl-citation.json"}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(Widiyatmoko &amp; Shimizu, 2018)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Factors that cause misconceptions can be students, teachers, language used, teaching methods, characteristics of teaching materials, and reference books, by including everyday experiences into the student area.</w:t>
      </w:r>
    </w:p>
    <w:p w14:paraId="6BBE29FB"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795D64DC"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Based on this review, researchers focus on teacher factors and teaching methods as causes of misconception. Both of these factors are areas that can be optimized to eradicate misconceptions. In the concept of formal learning, teachers are required to be able to implement teaching methods that present scientific explanations to students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978-3-030-30188-0","ISBN":"9783030301873","author":[{"dropping-particle":"","family":"Neidorf","given":"Teresa","non-dropping-particle":"","parse-names":false,"suffix":""},{"dropping-particle":"","family":"Arora","given":"Alka","non-dropping-particle":"","parse-names":false,"suffix":""},{"dropping-particle":"","family":"Erberber","given":"Ebru","non-dropping-particle":"","parse-names":false,"suffix":""},{"dropping-particle":"","family":"Tsokodayi","given":"Yemurai","non-dropping-particle":"","parse-names":false,"suffix":""}],"id":"ITEM-1","issued":{"date-parts":[["2020"]]},"publisher":"Springer Nature Switzerland AG","publisher-place":"Gewerbestrasse","title":"Student Misconceptions and Errors in Physics and Mathematics: Exploring Data from TIMSS and TIMSS","type":"book"},"uris":["http://www.mendeley.com/documents/?uuid=6c413ede-6f1e-4d26-9037-2b875cec1e5c"]}],"mendeley":{"formattedCitation":"(Neidorf et al., 2020)","plainTextFormattedCitation":"(Neidorf et al., 2020)","previouslyFormattedCitation":"(Neidorf et al., 2020)"},"properties":{"noteIndex":0},"schema":"https://github.com/citation-style-language/schema/raw/master/csl-citation.json"}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(Neidorf et al., 2020)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There are several problems found related to those two factors based on this review. Some teachers lack insight into the misconceptions of their students, so they only focus on teaching without trying to apply the conceptual change approach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{"citationItems":[{"id":"ITEM-1","itemData":{"DOI":"10.1080/10288457.2014.925268","author":[{"dropping-particle":"","family":"Gaigher","given":"Estelle","non-dropping-particle":"","parse-names":false,"suffix":""}],"container-title":"African Journal of Research in Mathematics , Science and Technology Education","id":"ITEM-1","issue":"2","issued":{"date-parts":[["2014"]]},"page":"176–187","title":"Questions about Answers : Probing Teachers ' Awareness and Planned Remediation of Learners ' Misconceptions about Electric Circuits","type":"article-journal","volume":"18"},"uris":["http://www.mendeley.com/documents/?uuid=d35a54c9-bcdb-4519-b17c-bc5fc60d2e34"]},{"id":"ITEM-2","itemData":{"DOI":"10.1007/s11165-017-9615-5","author":[{"dropping-particle":"","family":"Moodley","given":"Kimera","non-dropping-particle":"","parse-names":false,"suffix":""},{"dropping-particle":"","family":"Gaigher","given":"Estelle","non-dropping-particle":"","parse-names":false,"suffix":""}],"container-title":"Research in Science Education","id":"ITEM-2","issued":{"date-parts":[["2019"]]},"page":"73–89","publisher":"Research in Science Education","title":"Teaching Electric Circuits: Teachers’ Perceptions and Learners’ Misconceptions","type":"article-journal","volume":"49"},"uris":["http://www.mendeley.com/documents/?uuid=4184fc96-8120-4451-8987-99a5d1a6dfab"]}],"mendeley":{"formattedCitation":"(Gaigher, 2014; Moodley &amp; Gaigher, 2019)","plainTextFormattedCitation":"(Gaigher, 2014; Moodley &amp; Gaigher, 2019)","previouslyFormattedCitation":"(Gaigher, 2014; Moodley &amp; Gaigher, 2019)"},"properties":{"noteIndex":0},"schema":"https://github.com/citation-style-language/schema/raw/master/csl-citation.json"}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(Gaigher, 2014; Moodley &amp; Gaigher, 2019)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Another obstruction that contributes to the occurrence of misconceptions is the lack of adequate learning time management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2015.01.681","author":[{"dropping-particle":"","family":"Aykutlu","given":"Işıl","non-dropping-particle":"","parse-names":false,"suffix":""},{"dropping-particle":"","family":"Bezen","given":"Sevim","non-dropping-particle":"","parse-names":false,"suffix":""},{"dropping-particle":"","family":"Bayrak","given":"Celal","non-dropping-particle":"","parse-names":false,"suffix":""}],"container-title":"Procedia - Social and Behavioral Sciences","id":"ITEM-1","issued":{"date-parts":[["2015"]]},"page":"390-405","title":"Teacher opinions about the conceptual challenges experienced in teaching physics curriculum topics","type":"article-journal","volume":"174"},"uris":["http://www.mendeley.com/documents/?uuid=c940750d-0dc5-4e2f-8373-94d76b98a68d"]}],"mendeley":{"formattedCitation":"(Aykutlu, Bezen, &amp; Bayrak, 2015)","manualFormatting":"(Aykutlu et al., 2015)","plainTextFormattedCitation":"(Aykutlu, Bezen, &amp; Bayrak, 2015)","previouslyFormattedCitation":"(Aykutlu, Bezen, &amp; Bayrak,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(Aykutlu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This can be caused by a wide range of material as a result of curriculum demands or planning targets of the teachers themselves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2015.01.681","author":[{"dropping-particle":"","family":"Aykutlu","given":"Işıl","non-dropping-particle":"","parse-names":false,"suffix":""},{"dropping-particle":"","family":"Bezen","given":"Sevim","non-dropping-particle":"","parse-names":false,"suffix":""},{"dropping-particle":"","family":"Bayrak","given":"Celal","non-dropping-particle":"","parse-names":false,"suffix":""}],"container-title":"Procedia - Social and Behavioral Sciences","id":"ITEM-1","issued":{"date-parts":[["2015"]]},"page":"390-405","title":"Teacher opinions about the conceptual challenges experienced in teaching physics curriculum topics","type":"article-journal","volume":"174"},"uris":["http://www.mendeley.com/documents/?uuid=c940750d-0dc5-4e2f-8373-94d76b98a68d"]}],"mendeley":{"formattedCitation":"(Aykutlu et al., 2015)","plainTextFormattedCitation":"(Aykutlu et al., 2015)","previouslyFormattedCitation":"(Aykutlu et al.,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(Aykutlu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As a result, students only focus on memorizing without the possibility to generate scientific conceptions through the processes of thinking and learning activities.</w:t>
      </w:r>
    </w:p>
    <w:p w14:paraId="0EF354AB" w14:textId="77777777" w:rsidR="00AD23CC" w:rsidRPr="00AD23CC" w:rsidRDefault="00AD23CC" w:rsidP="00AD23CC">
      <w:pPr>
        <w:tabs>
          <w:tab w:val="left" w:pos="1814"/>
        </w:tabs>
        <w:spacing w:after="160" w:line="259" w:lineRule="auto"/>
        <w:rPr>
          <w:rFonts w:ascii="Calibri" w:eastAsia="Calibri" w:hAnsi="Calibri" w:cs="Arial"/>
          <w:sz w:val="22"/>
          <w:szCs w:val="22"/>
          <w:lang w:val="id-ID"/>
        </w:rPr>
      </w:pPr>
    </w:p>
    <w:p w14:paraId="2803EAA1" w14:textId="77777777" w:rsidR="00AD23CC" w:rsidRPr="00AD23CC" w:rsidRDefault="00AD23CC" w:rsidP="00AD23CC">
      <w:pPr>
        <w:spacing w:after="160" w:line="259" w:lineRule="auto"/>
        <w:rPr>
          <w:rFonts w:ascii="Calibri" w:eastAsia="Calibri" w:hAnsi="Calibri" w:cs="Arial"/>
          <w:b/>
          <w:bCs/>
          <w:i/>
          <w:iCs/>
          <w:sz w:val="22"/>
          <w:szCs w:val="22"/>
          <w:lang w:val="id-ID"/>
        </w:rPr>
      </w:pPr>
      <w:r w:rsidRPr="00AD23CC">
        <w:rPr>
          <w:rFonts w:ascii="Calibri" w:eastAsia="Calibri" w:hAnsi="Calibri" w:cs="Arial"/>
          <w:b/>
          <w:bCs/>
          <w:i/>
          <w:iCs/>
          <w:sz w:val="22"/>
          <w:szCs w:val="22"/>
          <w:lang w:val="id-ID"/>
        </w:rPr>
        <w:t>Remediation of Misconceptions</w:t>
      </w:r>
    </w:p>
    <w:p w14:paraId="394CF968"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An understanding of diagnostic techniques and causes of misconception is needed to determine remediation strategies. Remediation aims to turn their naive beliefs into scientific conceptions. The determination of remediation strategies is strongly influenced by the teacher's insight related to pedagogical knowledge. Several researchers in this review have given suggestions regarding remediation strategies using the conceptual change approach (see Appendix 2). Conceptual change is a mechanism that underlies meaningful learning processes, so students who initially do not understand become understand a concept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{"citationItems":[{"id":"ITEM-1","itemData":{"author":[{"dropping-particle":"","family":"Mayer","given":"Richard E.","non-dropping-particle":"","parse-names":false,"suffix":""}],"container-title":"Reconsidering Conceptual Change: Issues in Theory and Practice","editor":[{"dropping-particle":"","family":"Limón","given":"Margarita","non-dropping-particle":"","parse-names":false,"suffix":""},{"dropping-particle":"","family":"Mason","given":"Lucia","non-dropping-particle":"","parse-names":false,"suffix":""}],"id":"ITEM-1","issued":{"date-parts":[["2002"]]},"page":"101-111","publisher":"Kluwer Academic Publishers","publisher-place":"New York","title":"Understanding Conceptual Change: A Commentary","type":"chapter"},"uris":["http://www.mendeley.com/documents/?uuid=a4d57626-5722-45f7-92ca-83684446ccf4"]}],"mendeley":{"formattedCitation":"(Mayer, 2002)","plainTextFormattedCitation":"(Mayer, 2002)","previouslyFormattedCitation":"(Mayer,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(Mayer,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More simply,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{"citationItems":[{"id":"ITEM-1","itemData":{"author":[{"dropping-particle":"","family":"Mayer","given":"Richard E.","non-dropping-particle":"","parse-names":false,"suffix":""}],"container-title":"Reconsidering Conceptual Change: Issues in Theory and Practice","editor":[{"dropping-particle":"","family":"Limón","given":"Margarita","non-dropping-particle":"","parse-names":false,"suffix":""},{"dropping-particle":"","family":"Mason","given":"Lucia","non-dropping-particle":"","parse-names":false,"suffix":""}],"id":"ITEM-1","issued":{"date-parts":[["2002"]]},"page":"101-111","publisher":"Kluwer Academic Publishers","publisher-place":"New York","title":"Understanding Conceptual Change: A Commentary","type":"chapter"},"uris":["http://www.mendeley.com/documents/?uuid=a4d57626-5722-45f7-92ca-83684446ccf4"]}],"mendeley":{"formattedCitation":"(Mayer, 2002)","manualFormatting":"Mayer (2002)","plainTextFormattedCitation":"(Mayer, 2002)","previouslyFormattedCitation":"(Mayer,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Mayer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states that conceptual change characteristics include cognitive processes and social processes in which students try to build coherent and useful knowledge. According to a constructivist perspective, knowledge is not transferred from teacher to student but is constructed by individuals through the process of assimilation and accommodation. The accommodation process is the principal mechanism for conceptual change and has been established in a framework called the Conceptual Change Model (CCM)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{"citationItems":[{"id":"ITEM-1","itemData":{"author":[{"dropping-particle":"","family":"Posner","given":"George J.","non-dropping-particle":"","parse-names":false,"suffix":""},{"dropping-particle":"","family":"Strike","given":"Kenneth A.","non-dropping-particle":"","parse-names":false,"suffix":""},{"dropping-particle":"","family":"Hewson","given":"Peter W.","non-dropping-particle":"","parse-names":false,"suffix":""},{"dropping-particle":"","family":"Gertzog","given":"William A.","non-dropping-particle":"","parse-names":false,"suffix":""}],"container-title":"Science Education","id":"ITEM-1","issue":"2","issued":{"date-parts":[["1982"]]},"page":"211-227","title":"Accommodation of a Scientific Conception: Toward a Theory of Conceptual Change","type":"article-journal","volume":"66"},"uris":["http://www.mendeley.com/documents/?uuid=718d3a71-2c2f-4396-b58f-7c56af2cf8ef"]}],"mendeley":{"formattedCitation":"(Posner, Strike, Hewson, &amp; Gertzog, 1982)","manualFormatting":"Posner et al. (1982)","plainTextFormattedCitation":"(Posner, Strike, Hewson, &amp; Gertzog, 1982)","previouslyFormattedCitation":"(Posner, Strike, Hewson, &amp; Gertzog, 1982)"},"properties":{"noteIndex":0},"schema":"https://github.com/citation-style-language/schema/raw/master/csl-citation.json"}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Posner et al. (1982)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This model has been improved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{"citationItems":[{"id":"ITEM-1","itemData":{"DOI":"10.1207/s15326985ep3302&amp;3_5","ISSN":"00461520","abstract":"How is knowledge acquired and represented in memory? By what process do individuals come to change their ideas, conceptions, or knowledge? Although the first question has been central to cognitive psychologists' research agendas for many years, relatively less is known about the change process We examine 3 research literatures to broaden our understanding of the process of knowledge change. In particular, we draw on models of conceptual change from cognitive psychology social psychology, and science education. Each model adds a new perspective on the change process. Based on the literature from these models of change, we developed a new model that represents our reconceptualization of the change process. We describe the model and use it to point out new areas of research to be addressed.","author":[{"dropping-particle":"","family":"Dole","given":"Janice A.","non-dropping-particle":"","parse-names":false,"suffix":""},{"dropping-particle":"","family":"Sinatra","given":"Gale M.","non-dropping-particle":"","parse-names":false,"suffix":""}],"container-title":"Educational Psychologist","id":"ITEM-1","issue":"3","issued":{"date-parts":[["1998"]]},"page":"109-128","title":"Reconceptualizing Change in the Cognitive Construction of Knowledge","type":"article-journal","volume":"33"},"uris":["http://www.mendeley.com/documents/?uuid=22d876a4-157e-493a-ac6b-c19152a2ed21"]}],"mendeley":{"formattedCitation":"(Dole &amp; Sinatra, 1998)","manualFormatting":"Dole &amp; Sinatra (1998)","plainTextFormattedCitation":"(Dole &amp; Sinatra, 1998)","previouslyFormattedCitation":"(Dole &amp; Sinatra, 1998)"},"properties":{"noteIndex":0},"schema":"https://github.com/citation-style-language/schema/raw/master/csl-citation.json"}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Dole &amp; Sinatra (1998)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toward the Cognitive Reconstruction of Knowledge Model (CRKM) through blending the principle of the Elaboration Likelihood Model (ELM) which had previously been developed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{"citationItems":[{"id":"ITEM-1","itemData":{"author":[{"dropping-particle":"","family":"Petty","given":"Richard E.","non-dropping-particle":"","parse-names":false,"suffix":""},{"dropping-particle":"","family":"Cacioppo","given":"John T.","non-dropping-particle":"","parse-names":false,"suffix":""}],"container-title":"Advances in Experimental Social Psychology","id":"ITEM-1","issued":{"date-parts":[["1986"]]},"page":"123-205","title":"The Elaboration Likelihood Model of Persuasion","type":"article-journal","volume":"19"},"uris":["http://www.mendeley.com/documents/?uuid=877c2925-e9c6-40de-bcd7-28f7d59fc3d5"]}],"mendeley":{"formattedCitation":"(Petty &amp; Cacioppo, 1986)","manualFormatting":"Petty &amp; Cacioppo (1986)","plainTextFormattedCitation":"(Petty &amp; Cacioppo, 1986)","previouslyFormattedCitation":"(Petty &amp; Cacioppo, 1986)"},"properties":{"noteIndex":0},"schema":"https://github.com/citation-style-language/schema/raw/master/csl-citation.json"}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Petty &amp; Cacioppo (1986)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5908D93B" w14:textId="77777777" w:rsidR="00AD23CC" w:rsidRPr="00AD23CC" w:rsidRDefault="00AD23CC" w:rsidP="00AD23CC">
      <w:pPr>
        <w:spacing w:after="160" w:line="259" w:lineRule="auto"/>
        <w:rPr>
          <w:rFonts w:ascii="Calibri" w:eastAsia="Calibri" w:hAnsi="Calibri" w:cs="Arial"/>
          <w:sz w:val="22"/>
          <w:szCs w:val="22"/>
          <w:lang w:val="id-ID"/>
        </w:rPr>
      </w:pPr>
    </w:p>
    <w:p w14:paraId="43828D17"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The conceptual change approach emphasizes that learning science should not merely convey information, but must guide students to understand their experiences in science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{"citationItems":[{"id":"ITEM-1","itemData":{"author":[{"dropping-particle":"","family":"Mayer","given":"Richard E.","non-dropping-particle":"","parse-names":false,"suffix":""}],"container-title":"Reconsidering Conceptual Change: Issues in Theory and Practice","editor":[{"dropping-particle":"","family":"Limón","given":"Margarita","non-dropping-particle":"","parse-names":false,"suffix":""},{"dropping-particle":"","family":"Mason","given":"Lucia","non-dropping-particle":"","parse-names":false,"suffix":""}],"id":"ITEM-1","issued":{"date-parts":[["2002"]]},"page":"101-111","publisher":"Kluwer Academic Publishers","publisher-place":"New York","title":"Understanding Conceptual Change: A Commentary","type":"chapter"},"uris":["http://www.mendeley.com/documents/?uuid=a4d57626-5722-45f7-92ca-83684446ccf4"]}],"mendeley":{"formattedCitation":"(Mayer, 2002)","plainTextFormattedCitation":"(Mayer, 2002)","previouslyFormattedCitation":"(Mayer, 2002)"},"properties":{"noteIndex":0},"schema":"https://github.com/citation-style-language/schema/raw/master/csl-citation.json"}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(Mayer, 2002)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teacher must alter it into an appropriate science learning method. Based on this study, learning methods that are widely used to remediate misconceptions with a conceptual change approach are Simulation-Based Experiment (11 articles), Conceptual Change Text (4 articles), and Inquiry-Based Learning (3 articles). All of these learning methods focus on student activities, and the teacher guides as they reconstruct knowledge. By understanding the characteristics of that three learning methods, researchers and teachers can perform conceptual change in physics. When referring to </w:t>
      </w:r>
      <w:r w:rsidRPr="00AD23CC">
        <w:rPr>
          <w:rFonts w:ascii="Calibri" w:eastAsia="Calibri" w:hAnsi="Calibri" w:cs="Arial"/>
          <w:sz w:val="22"/>
          <w:szCs w:val="22"/>
          <w:lang w:val="id-ID"/>
        </w:rPr>
        <w:lastRenderedPageBreak/>
        <w:t xml:space="preserve">CCM, four conditions can be created in the learning method so that concept accommodation can occur, namely dissatisfaction, intelligible, plausible, and fruitfulness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{"citationItems":[{"id":"ITEM-1","itemData":{"author":[{"dropping-particle":"","family":"Posner","given":"George J.","non-dropping-particle":"","parse-names":false,"suffix":""},{"dropping-particle":"","family":"Strike","given":"Kenneth A.","non-dropping-particle":"","parse-names":false,"suffix":""},{"dropping-particle":"","family":"Hewson","given":"Peter W.","non-dropping-particle":"","parse-names":false,"suffix":""},{"dropping-particle":"","family":"Gertzog","given":"William A.","non-dropping-particle":"","parse-names":false,"suffix":""}],"container-title":"Science Education","id":"ITEM-1","issue":"2","issued":{"date-parts":[["1982"]]},"page":"211-227","title":"Accommodation of a Scientific Conception: Toward a Theory of Conceptual Change","type":"article-journal","volume":"66"},"uris":["http://www.mendeley.com/documents/?uuid=718d3a71-2c2f-4396-b58f-7c56af2cf8ef"]}],"mendeley":{"formattedCitation":"(Posner et al., 1982)","plainTextFormattedCitation":"(Posner et al., 1982)","previouslyFormattedCitation":"(Posner et al., 1982)"},"properties":{"noteIndex":0},"schema":"https://github.com/citation-style-language/schema/raw/master/csl-citation.json"}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(Posner et al., 1982)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 dissatisfaction condition occurs if the students are dealing with facts or problems that cannot be solved by understanding the prior concept and feeling that there is something wrong with their concept. Experiences during learning must be able to be used by students to develop scientific conceptions which is inherent (intelligible). That conceptions must be plausible, at least for solving the problems that cannot be solved by prior conceptions. Plausibility is also shown by the consistency of a concept with other knowledge. The last condition is fruitfulness which means new conception relevance to the benefit of research issues that are continuously developing.</w:t>
      </w:r>
    </w:p>
    <w:p w14:paraId="026B9156" w14:textId="77777777" w:rsidR="00AD23CC" w:rsidRPr="00AD23CC" w:rsidRDefault="00AD23CC" w:rsidP="00AD23CC">
      <w:pPr>
        <w:spacing w:after="160" w:line="259" w:lineRule="auto"/>
        <w:rPr>
          <w:rFonts w:ascii="Calibri" w:eastAsia="Calibri" w:hAnsi="Calibri" w:cs="Arial"/>
          <w:sz w:val="22"/>
          <w:szCs w:val="22"/>
          <w:lang w:val="id-ID"/>
        </w:rPr>
      </w:pPr>
    </w:p>
    <w:p w14:paraId="73B34BE2"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Simulation-Based Experiment (SBE) is the most widely used choice for remediation of misconceptions. The application of computer technology in learning continues to grow, along with the development of research in educational technology. Specifically, to support the remediation with the conceptual change approach, simulation is considered to be the most appropriate method. This refers to the characteristics of simulation that are able to advance various learning objectives of science, including science learning motivation, conceptual understanding, science process skills, and understanding the nature of science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{"citationItems":[{"id":"ITEM-1","itemData":{"DOI":"10.1111/j.1467-8535.2011.01247_6.x","ISBN":"0309185246","ISSN":"0007-1013","abstract":"A review of the book \"Learning Science Through Computer Games and Simulations,\" edited by Margaret A. Honey and Margaret Hilton is presented.","author":[{"dropping-particle":"","family":"National Research Council","given":"","non-dropping-particle":"","parse-names":false,"suffix":""}],"editor":[{"dropping-particle":"","family":"Honey","given":"Margaret A","non-dropping-particle":"","parse-names":false,"suffix":""},{"dropping-particle":"","family":"Hilton","given":"Margaret","non-dropping-particle":"","parse-names":false,"suffix":""}],"id":"ITEM-1","issued":{"date-parts":[["2011"]]},"publisher":"The National Academies Press","publisher-place":"Washington, DC","title":"Learning science through computer games and simulations","type":"book"},"uris":["http://www.mendeley.com/documents/?uuid=07cd6740-d9dd-46c7-bde1-7d93a10f310d"]}],"mendeley":{"formattedCitation":"(National Research Council, 2011)","plainTextFormattedCitation":"(National Research Council, 2011)","previouslyFormattedCitation":"(National Research Council, 2011)"},"properties":{"noteIndex":0},"schema":"https://github.com/citation-style-language/schema/raw/master/csl-citation.json"}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(National Research Council, 2011)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Computer-based simulations offer a virtual learning environment that cannot be practiced or emulated in real conditions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Januszewski","given":"Alan","non-dropping-particle":"","parse-names":false,"suffix":""},{"dropping-particle":"","family":"Molenda","given":"Michael","non-dropping-particle":"","parse-names":false,"suffix":""}],"id":"ITEM-1","issued":{"date-parts":[["2008"]]},"publisher":"Taylor &amp; Francis Group, LLC","publisher-place":"New York, NY","title":"Educational Technology: A Definition with Commentary","type":"book"},"uris":["http://www.mendeley.com/documents/?uuid=b6bb9c6d-2872-42c9-8450-5b43ff6012f2"]}],"mendeley":{"formattedCitation":"(Januszewski &amp; Molenda, 2008)","plainTextFormattedCitation":"(Januszewski &amp; Molenda, 2008)","previouslyFormattedCitation":"(Januszewski &amp; Molenda, 2008)"},"properties":{"noteIndex":0},"schema":"https://github.com/citation-style-language/schema/raw/master/csl-citation.json"}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(Januszewski &amp; Molenda, 2008)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Students can visualize, explore, and formulate scientific explanations for scientific phenomena that would otherwise be impossible to observe and manipulate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{"citationItems":[{"id":"ITEM-1","itemData":{"DOI":"10.1111/j.1467-8535.2011.01247_6.x","ISBN":"0309185246","ISSN":"0007-1013","abstract":"A review of the book \"Learning Science Through Computer Games and Simulations,\" edited by Margaret A. Honey and Margaret Hilton is presented.","author":[{"dropping-particle":"","family":"National Research Council","given":"","non-dropping-particle":"","parse-names":false,"suffix":""}],"editor":[{"dropping-particle":"","family":"Honey","given":"Margaret A","non-dropping-particle":"","parse-names":false,"suffix":""},{"dropping-particle":"","family":"Hilton","given":"Margaret","non-dropping-particle":"","parse-names":false,"suffix":""}],"id":"ITEM-1","issued":{"date-parts":[["2011"]]},"publisher":"The National Academies Press","publisher-place":"Washington, DC","title":"Learning science through computer games and simulations","type":"book"},"uris":["http://www.mendeley.com/documents/?uuid=07cd6740-d9dd-46c7-bde1-7d93a10f310d"]}],"mendeley":{"formattedCitation":"(National Research Council, 2011)","plainTextFormattedCitation":"(National Research Council, 2011)","previouslyFormattedCitation":"(National Research Council, 2011)"},"properties":{"noteIndex":0},"schema":"https://github.com/citation-style-language/schema/raw/master/csl-citation.json"}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(National Research Council, 2011)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These are experiences offered by digital simulations and are suitable for building intelligible conditions in CCM.</w:t>
      </w:r>
    </w:p>
    <w:p w14:paraId="40730D6C" w14:textId="77777777" w:rsidR="00AD23CC" w:rsidRPr="00AD23CC" w:rsidRDefault="00AD23CC" w:rsidP="00AD23CC">
      <w:pPr>
        <w:spacing w:after="160" w:line="259" w:lineRule="auto"/>
        <w:rPr>
          <w:rFonts w:ascii="Calibri" w:eastAsia="Calibri" w:hAnsi="Calibri" w:cs="Arial"/>
          <w:sz w:val="22"/>
          <w:szCs w:val="22"/>
          <w:lang w:val="id-ID"/>
        </w:rPr>
      </w:pPr>
    </w:p>
    <w:p w14:paraId="18D6BD6E"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Simulation potentially to be used in various approaches to teaching and learning, as didactical tools, as models and conveyance for complex concepts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{"citationItems":[{"id":"ITEM-1","itemData":{"DOI":"10.4018/978-1-60566-322-7","ISBN":"9781605663227","abstract":"Artificial instructional methods now provide the learning community with exercise specific teaching skills and learning situations that strengthen educator instincts and intuition about best practices. Digital Simulations for Improving Education: Learning Through Artificial Teaching Environments contains research and current trends used in digital simulations of teaching, surveying the uses of games and simulations in teacher education. An essential resource for teachers, educational technologists, and simulation developers, this book helps solve problems in teaching and learning through introduction of the potential and benefits of practice with digital simulations. © 2009 by IGI Global. All rights reserved.","editor":[{"dropping-particle":"","family":"Gibson","given":"David","non-dropping-particle":"","parse-names":false,"suffix":""},{"dropping-particle":"","family":"Baek","given":"Youngkyun","non-dropping-particle":"","parse-names":false,"suffix":""}],"id":"ITEM-1","issued":{"date-parts":[["2009"]]},"publisher":"Information Science Reference","publisher-place":"Hershey, PA","title":"Digital simulations for improving education: Learning through artificial teaching environments","type":"book"},"uris":["http://www.mendeley.com/documents/?uuid=5a200572-d3fb-46a5-be9e-49ad4d67c21a"]}],"mendeley":{"formattedCitation":"(Gibson &amp; Baek, 2009)","plainTextFormattedCitation":"(Gibson &amp; Baek, 2009)","previouslyFormattedCitation":"(Gibson &amp; Baek, 2009)"},"properties":{"noteIndex":0},"schema":"https://github.com/citation-style-language/schema/raw/master/csl-citation.json"}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(Gibson &amp; Baek, 2009)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for discovery learning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{"citationItems":[{"id":"ITEM-1","itemData":{"DOI":"10.1023/A:1002993406499","ISSN":"00204277","abstract":"This article describes a theory of scientific discovery learning which is an extension of Klahr and Dunbar's model of Scientific Discovery as Dual Search (SDDS) model. We present a model capable of describing and understanding scientific discovery learning in complex domains in terms of the SDDS framework. The concepts of hypothesis space and experiment space, central to SDDS, are elaborated and used as a representation of the learner's knowledge. Also, we introduce a taxonomy of search operations in hypothesis space which allows us to describe in detail the processes of discovery. Our ideas are tested against data of subjects who comment on the discovery processes of a simulated learner. It is found that the conditions for performance a search operation in hypothesis space include both sufficient knowledge of the search operation itself and reasons for choosing a specific search operation. Furthermore, a number of constraints on the search in hypothesis space is discussed: domain specific and generic prior knowledge, learning goals, and personality factors. We conclude with some recommendations for the design of discovery-based learning environments.","author":[{"dropping-particle":"","family":"Joolingen","given":"Wouter R.","non-dropping-particle":"Van","parse-names":false,"suffix":""},{"dropping-particle":"","family":"Jong","given":"Ton","non-dropping-particle":"De","parse-names":false,"suffix":""}],"container-title":"Instructional Science","id":"ITEM-1","issue":"5","issued":{"date-parts":[["1997"]]},"page":"307-346","title":"An extended dual search space model of scientific discovery learning","type":"article-journal","volume":"25"},"uris":["http://www.mendeley.com/documents/?uuid=7d928486-da93-4a47-81c4-4b1ae5a6b7d9"]}],"mendeley":{"formattedCitation":"(Van Joolingen &amp; De Jong, 1997)","plainTextFormattedCitation":"(Van Joolingen &amp; De Jong, 1997)","previouslyFormattedCitation":"(Van Joolingen &amp; De Jong, 1997)"},"properties":{"noteIndex":0},"schema":"https://github.com/citation-style-language/schema/raw/master/csl-citation.json"}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(Van Joolingen &amp; De Jong, 1997)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for experiential learning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{"citationItems":[{"id":"ITEM-1","itemData":{"ISBN":"9780133892505","abstract":"Second edition. Experiential learning is a powerful and proven approach to teaching and learning that is based on one incontrovertible reality: people learn best through experience. Now, in this extensively updated book, David A. Kolb offers a systematic and up-to-date statement of the theory of experiential learning and its modern applications to education, work, and adult development. Experiential Learning, Second Edition builds on the intellectual origins of experiential learning as defined by figures such as John Dewey, Kurt Lewin, Jean Piaget, and L.S. Vygotsky, while also reflecting three full decades of research and practice since the classic first edition. Kolb models the underlying structures of the learning process based on the latest insights in psychology, philosophy, and physiology. Building on his comprehensive structural model, he offers an exceptionally useful typology of individual learning styles and corresponding structures of knowledge in different academic disciplines and careers. Kolb also applies experiential learning to higher education and lifelong learning, especially with regard to adult education. This edition reviews recent applications and uses of experiential learning, updates Kolb's framework to address the current organizational and educational landscape, and features current examples of experiential learning both in the field and in the classroom. It will be an indispensable resource for everyone who wants to promote more effective learning: in higher education, training, organizational development, lifelong learning environments, and online.","author":[{"dropping-particle":"","family":"Kolb","given":"David A.","non-dropping-particle":"","parse-names":false,"suffix":""}],"edition":"Second","id":"ITEM-1","issued":{"date-parts":[["2015"]]},"publisher":"Pearson Education, Inc.","publisher-place":"New Jersey","title":"Experiential learning: experience as the source of learning and development","type":"book"},"uris":["http://www.mendeley.com/documents/?uuid=71027c6c-14ce-4b42-9e3b-9ccfac39de8b"]}],"mendeley":{"formattedCitation":"(Kolb, 2015)","plainTextFormattedCitation":"(Kolb, 2015)","previouslyFormattedCitation":"(Kolb,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(Kolb,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and predict-observe-explain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{"citationItems":[{"id":"ITEM-1","itemData":{"DOI":"10.5901/mjss.2014.v5n4p300","ISSN":"20392117","abstract":"The effect of teaching and learning strategies on learners' performance is important in science education. This study explored the effect of the Predict-Observe-Explain (POE) strategy on Grade 10 Physical Sciences learners' misconceptions on how salt dissolves in water. A quasi-experimental design was employed in collecting data from South Africa. A t-test and Analysis of Covariance (ANCOVA) were used to analyse the data. The results show that learners in the experimental group (EG) taught using POE performed better in the post-test than their counterparts in the control group (CG) taught using traditional methods. Also, two new misconceptions were identified, namely: 1) salts dissolve in water when it is in 'fine' grains; and, 2) solid sodium chloride is not an ionic compound. These results highlight the need for educators and curriculum developers to include various elements of POE in the curriculum as a model for conceptual change in teaching science.","author":[{"dropping-particle":"","family":"Kibirige","given":"Israel","non-dropping-particle":"","parse-names":false,"suffix":""},{"dropping-particle":"","family":"Osodo","given":"Joseph","non-dropping-particle":"","parse-names":false,"suffix":""},{"dropping-particle":"","family":"Tlala","given":"Kedibone Magdeline","non-dropping-particle":"","parse-names":false,"suffix":""}],"container-title":"Mediterranean Journal of Social Sciences","id":"ITEM-1","issue":"4","issued":{"date-parts":[["2014"]]},"page":"300-310","title":"The effect of predict-observe-explain strategy on learners' misconceptions about dissolved salts","type":"article-journal","volume":"5"},"uris":["http://www.mendeley.com/documents/?uuid=003062d9-b274-416e-8e17-70a4164bf5c2"]}],"mendeley":{"formattedCitation":"(Kibirige, Osodo, &amp; Tlala, 2014)","manualFormatting":"(Kibirige et al., 2014)","plainTextFormattedCitation":"(Kibirige, Osodo, &amp; Tlala, 2014)","previouslyFormattedCitation":"(Kibirige, Osodo, &amp; Tlala, 2014)"},"properties":{"noteIndex":0},"schema":"https://github.com/citation-style-language/schema/raw/master/csl-citation.json"}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(Kibirige et al., 2014)</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keyword is an SBE able to provide concrete experiences, mediate interactions between learners and natural phenomena, and guide learners to draw conclusions based on the results of experiments.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{"citationItems":[{"id":"ITEM-1","itemData":{"author":[{"dropping-particle":"","family":"Zietsman","given":"Aletta I","non-dropping-particle":"","parse-names":false,"suffix":""},{"dropping-particle":"","family":"Hewson","given":"Peter W","non-dropping-particle":"","parse-names":false,"suffix":""}],"container-title":"Journal of Research in Science Teaching","id":"ITEM-1","issue":"1","issued":{"date-parts":[["1986"]]},"page":"27-39","title":"Simulations and Conceptual Change Strategies on Science Learning","type":"article-journal","volume":"23"},"uris":["http://www.mendeley.com/documents/?uuid=26d057e0-993f-4e4e-81f5-3bf3924a0b36"]}],"mendeley":{"formattedCitation":"(Zietsman &amp; Hewson, 1986)","manualFormatting":"Zietsman &amp; Hewson (1986)","plainTextFormattedCitation":"(Zietsman &amp; Hewson, 1986)","previouslyFormattedCitation":"(Zietsman &amp; Hewson, 1986)"},"properties":{"noteIndex":0},"schema":"https://github.com/citation-style-language/schema/raw/master/csl-citation.json"}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Zietsman &amp; Hewson (1986)</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been able to handle misconceptions by integrating microcomputer-based simulations and conceptual change strategies. DYNLAB, computer-based modeling has also been developed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{"citationItems":[{"id":"ITEM-1","itemData":{"DOI":"10.1007/BF00117752","ISSN":"00204277","abstract":"This paper starts from the assumption that leaming is promoted through confronting students with the inconsistencies entailed by their own beliefs. The issue is explored in the domain of Newtonian dynamics in the context of one or more moving particles. Previous work is used as the basis for the construction of a programme of work that is undertaken by a group of students. This programme entailed the development of a computer-based modelling environment called DYNLAB. The underlying design principle is that students should be able to model the agencies involved at a level which permits them to express some of their explicit (possibly mistaken) beliefs about relevant concepts. Other, implicit, beliefs should also be detectable through use of the system. The results derived from observation suggest that computer-based modelling facilities can provide advantages over approaches exploiting other media. In particular, such systems can be used to promote the kinds of intellectual conflict that are believed to be beneficial. © 1987 Kluwer Academic Publishers.","author":[{"dropping-particle":"","family":"Brna","given":"Paul","non-dropping-particle":"","parse-names":false,"suffix":""}],"container-title":"Instructional Science","id":"ITEM-1","issue":"4","issued":{"date-parts":[["1987"]]},"page":"351-379","title":"Confronting dynamics misconceptions","type":"article-journal","volume":"16"},"uris":["http://www.mendeley.com/documents/?uuid=cc1aaf26-40db-4605-b090-564e29747236"]}],"mendeley":{"formattedCitation":"(Brna, 1987)","manualFormatting":"Brna (1987)","plainTextFormattedCitation":"(Brna, 1987)","previouslyFormattedCitation":"(Brna, 1987)"},"properties":{"noteIndex":0},"schema":"https://github.com/citation-style-language/schema/raw/master/csl-citation.json"}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Brna (1987)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 and capable of confronting dynamics misconceptions.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{"citationItems":[{"id":"ITEM-1","itemData":{"DOI":"10.3102/00346543068002179","ISSN":"00346543","abstract":"Scientific discovery learning is a highly self-directed and constructivistic form of learning. A computer simulation is a type of computer-based environment that is well suited for discovery learning, the main task of the learner being to infer, through experimentation, characteristics of the model underlying the simulation. In this article we give a review of the observed effectiveness and efficiency of discovery learning in simulation environments together with problems that learners may encounter in discovery learning, and we discuss how simulations may be combined with instructional support in order to overcome these problems.","author":[{"dropping-particle":"","family":"Jong","given":"Ton","non-dropping-particle":"De","parse-names":false,"suffix":""},{"dropping-particle":"","family":"Joolingen","given":"Wouter R.","non-dropping-particle":"Van","parse-names":false,"suffix":""}],"container-title":"Review of Educational Research","id":"ITEM-1","issue":"2","issued":{"date-parts":[["1998"]]},"page":"179-201","title":"Scientific discovery learning with computer simulations of conceptual domains","type":"article-journal","volume":"68"},"uris":["http://www.mendeley.com/documents/?uuid=859718c1-f5b9-47bf-a018-84266e5c9fe5"]}],"mendeley":{"formattedCitation":"(De Jong &amp; Van Joolingen, 1998)","manualFormatting":"De Jong &amp; Van Joolingen (1998)","plainTextFormattedCitation":"(De Jong &amp; Van Joolingen, 1998)","previouslyFormattedCitation":"(De Jong &amp; Van Joolingen, 1998)"},"properties":{"noteIndex":0},"schema":"https://github.com/citation-style-language/schema/raw/master/csl-citation.json"}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De Jong &amp; Van Joolingen (1998)</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have also conducted studies on scientific discovery learning (SDL) with computer simulations. Another intervention has been carried out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{"citationItems":[{"id":"ITEM-1","itemData":{"DOI":"10.1119/1.1566427","ISSN":"0002-9505","abstract":"We investigate the effects of interactive computer-based simulations which are presented prior to inquiry-based laboratory experiments on students' conceptual understanding of mechanics, waves/optics, and thermal physics. In principle, the simulations should serve as a cognitive framework for enhancing the subsequent more open-ended inquiry learning in the subject matter domain of the experiments. To test this prediction, the simulations and experiments were integrated into a one semester class for prospective physics teachers who served as students in the study. Semi-structured interviews were used to assess their ability to make correct predictions about the phenomenon in the experiments before using the latter and give correct explanations of the discrepancies between their predictions and their following observations. Conceptual tests were presented to assess conceptual understandings of each topic. Our results indicate that the use of the simulations improved the students' ability to make acceptable predictions and explanations of the phenomena in the experiments. The use of simulations also fostered a significant conceptual change in the physics content areas that were studied. (C) 2003 American Association of Physics Teachers. [DOI: 10.1119/1.1566427].","author":[{"dropping-particle":"","family":"Zacharia","given":"Zacharias","non-dropping-particle":"","parse-names":false,"suffix":""},{"dropping-particle":"","family":"Anderson","given":"O. Roger","non-dropping-particle":"","parse-names":false,"suffix":""}],"container-title":"American Journal of Physics","id":"ITEM-1","issue":"6","issued":{"date-parts":[["2003"]]},"page":"618-629","title":"The effects of an interactive computer-based simulation prior to performing a laboratory inquiry-based experiment on students’ conceptual understanding of physics","type":"article-journal","volume":"71"},"uris":["http://www.mendeley.com/documents/?uuid=80b7c559-f397-46e0-aca4-0a715043cc12"]}],"mendeley":{"formattedCitation":"(Zacharia &amp; Anderson, 2003)","manualFormatting":"Zacharia &amp; Anderson (2003)","plainTextFormattedCitation":"(Zacharia &amp; Anderson, 2003)","previouslyFormattedCitation":"(Zacharia &amp; Anderson, 2003)"},"properties":{"noteIndex":0},"schema":"https://github.com/citation-style-language/schema/raw/master/csl-citation.json"}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Zacharia &amp; Anderson (2003)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who performed prior knowledge of computer-based simulations before the students conducted a laboratory experiment. In this case, that aims to establish plausibility conditions according to CCM. </w:t>
      </w:r>
    </w:p>
    <w:p w14:paraId="012DEC99" w14:textId="77777777" w:rsidR="00AD23CC" w:rsidRPr="00AD23CC" w:rsidRDefault="00AD23CC" w:rsidP="00AD23CC">
      <w:pPr>
        <w:spacing w:after="160" w:line="259" w:lineRule="auto"/>
        <w:rPr>
          <w:rFonts w:ascii="Calibri" w:eastAsia="Calibri" w:hAnsi="Calibri" w:cs="Arial"/>
          <w:sz w:val="22"/>
          <w:szCs w:val="22"/>
          <w:lang w:val="id-ID"/>
        </w:rPr>
      </w:pPr>
    </w:p>
    <w:p w14:paraId="59DA4F92"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SBE has any advantages if applied to the conceptual change approach. That evidenced by its effectiveness for remediating misconceptions based on the results of existing studies. Implementing SBE is not as simple as imagined because it requires collaboration with software developers and animators. Besides, it needs much detailed planning to develop digital simulations. Any challenges in developing SBE according to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{"citationItems":[{"id":"ITEM-1","itemData":{"DOI":"10.4018/978-1-60566-322-7","ISBN":"9781605663227","abstract":"Artificial instructional methods now provide the learning community with exercise specific teaching skills and learning situations that strengthen educator instincts and intuition about best practices. Digital Simulations for Improving Education: Learning Through Artificial Teaching Environments contains research and current trends used in digital simulations of teaching, surveying the uses of games and simulations in teacher education. An essential resource for teachers, educational technologists, and simulation developers, this book helps solve problems in teaching and learning through introduction of the potential and benefits of practice with digital simulations. © 2009 by IGI Global. All rights reserved.","editor":[{"dropping-particle":"","family":"Gibson","given":"David","non-dropping-particle":"","parse-names":false,"suffix":""},{"dropping-particle":"","family":"Baek","given":"Youngkyun","non-dropping-particle":"","parse-names":false,"suffix":""}],"id":"ITEM-1","issued":{"date-parts":[["2009"]]},"publisher":"Information Science Reference","publisher-place":"Hershey, PA","title":"Digital simulations for improving education: Learning through artificial teaching environments","type":"book"},"uris":["http://www.mendeley.com/documents/?uuid=5a200572-d3fb-46a5-be9e-49ad4d67c21a"]}],"mendeley":{"formattedCitation":"(Gibson &amp; Baek, 2009)","manualFormatting":"Gibson &amp; Baek (2009)","plainTextFormattedCitation":"(Gibson &amp; Baek, 2009)","previouslyFormattedCitation":"(Gibson &amp; Baek, 2009)"},"properties":{"noteIndex":0},"schema":"https://github.com/citation-style-language/schema/raw/master/csl-citation.json"}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Gibson &amp; Baek (2009)</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include: (1) the complexity of the interface developing and the attainment of the supporting devices; (2) limitations of SBE features that limit students exploration; (3) limited feedback due to the lack of adaptive systems like humans; (4) </w:t>
      </w:r>
      <w:r w:rsidRPr="00AD23CC">
        <w:rPr>
          <w:rFonts w:ascii="Calibri" w:eastAsia="Calibri" w:hAnsi="Calibri" w:cs="Arial"/>
          <w:sz w:val="22"/>
          <w:szCs w:val="22"/>
          <w:lang w:val="id-ID"/>
        </w:rPr>
        <w:lastRenderedPageBreak/>
        <w:t>students must maintain focus because they interact with computers through multi-sensory systems; (5) when playing the simulation, students might not be able to drift into a part of the phenomenon; (6) students with weak computerized skills may be overwhelmed by playing simulations; (7) teachers must give enough direction to learners; and (8) SBE development is costly and difficult. If these challenges are not allowed well, students will miss meaningful experiences.</w:t>
      </w:r>
    </w:p>
    <w:p w14:paraId="272B7167" w14:textId="77777777" w:rsidR="00AD23CC" w:rsidRPr="00AD23CC" w:rsidRDefault="00AD23CC" w:rsidP="00AD23CC">
      <w:pPr>
        <w:spacing w:after="160" w:line="259" w:lineRule="auto"/>
        <w:rPr>
          <w:rFonts w:ascii="Calibri" w:eastAsia="Calibri" w:hAnsi="Calibri" w:cs="Arial"/>
          <w:sz w:val="22"/>
          <w:szCs w:val="22"/>
          <w:lang w:val="id-ID"/>
        </w:rPr>
      </w:pPr>
    </w:p>
    <w:p w14:paraId="48AA47CC"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Conceptual Change Text (CCT) became the second most preferred method for remediating misconceptions. CCT is in the form of text with a CCM approach from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{"citationItems":[{"id":"ITEM-1","itemData":{"author":[{"dropping-particle":"","family":"Posner","given":"George J.","non-dropping-particle":"","parse-names":false,"suffix":""},{"dropping-particle":"","family":"Strike","given":"Kenneth A.","non-dropping-particle":"","parse-names":false,"suffix":""},{"dropping-particle":"","family":"Hewson","given":"Peter W.","non-dropping-particle":"","parse-names":false,"suffix":""},{"dropping-particle":"","family":"Gertzog","given":"William A.","non-dropping-particle":"","parse-names":false,"suffix":""}],"container-title":"Science Education","id":"ITEM-1","issue":"2","issued":{"date-parts":[["1982"]]},"page":"211-227","title":"Accommodation of a Scientific Conception: Toward a Theory of Conceptual Change","type":"article-journal","volume":"66"},"uris":["http://www.mendeley.com/documents/?uuid=718d3a71-2c2f-4396-b58f-7c56af2cf8ef"]}],"mendeley":{"formattedCitation":"(Posner et al., 1982)","manualFormatting":"Posner et al. (1982)","plainTextFormattedCitation":"(Posner et al., 1982)","previouslyFormattedCitation":"(Posner et al., 1982)"},"properties":{"noteIndex":0},"schema":"https://github.com/citation-style-language/schema/raw/master/csl-citation.json"}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Posner et al. (1982)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CCT have first developed by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{"citationItems":[{"id":"ITEM-1","itemData":{"author":[{"dropping-particle":"","family":"Roth","given":"Kathleen J","non-dropping-particle":"","parse-names":false,"suffix":""}],"container-title":"American Educational Research Association","id":"ITEM-1","issued":{"date-parts":[["1985"]]},"publisher":"Association of American Publishers","publisher-place":"Washington, D.C.","title":"Conceptual Change Learning and Student Processing of Science Texts","type":"paper-conference"},"uris":["http://www.mendeley.com/documents/?uuid=02702d1a-5099-4e86-817f-9c26e01a3f33"]}],"mendeley":{"formattedCitation":"(Roth, 1985)","manualFormatting":"Roth (1985)","plainTextFormattedCitation":"(Roth, 1985)","previouslyFormattedCitation":"(Roth, 1985)"},"properties":{"noteIndex":0},"schema":"https://github.com/citation-style-language/schema/raw/master/csl-citation.json"}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Roth (1985)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to help students to perform the four Posner conditions.   If these four conditions involved in CCT, then students will be advised to obtain the conceptual change when compared to traditional text that only focuses on composing new intelligible conceptions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{"citationItems":[{"id":"ITEM-1","itemData":{"author":[{"dropping-particle":"","family":"Roth","given":"Kathleen J","non-dropping-particle":"","parse-names":false,"suffix":""}],"container-title":"American Educational Research Association","id":"ITEM-1","issued":{"date-parts":[["1985"]]},"publisher":"Association of American Publishers","publisher-place":"Washington, D.C.","title":"Conceptual Change Learning and Student Processing of Science Texts","type":"paper-conference"},"uris":["http://www.mendeley.com/documents/?uuid=02702d1a-5099-4e86-817f-9c26e01a3f33"]}],"mendeley":{"formattedCitation":"(Roth, 1985)","plainTextFormattedCitation":"(Roth, 1985)","previouslyFormattedCitation":"(Roth, 1985)"},"properties":{"noteIndex":0},"schema":"https://github.com/citation-style-language/schema/raw/master/csl-citation.json"}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(Roth, 1985)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Traditional texts can be formed into CCT by blending the conditions of conceptual change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{"citationItems":[{"id":"ITEM-1","itemData":{"DOI":"10.1016/0361-476X(91)90031-F","ISSN":"10902384","abstract":"The present study investigated the effect of conceptual change text and application questions on learning electricity concepts. In the conditions most similar to typical classroom situations, conceptual change text, as compared to traditional text, improved acquisition of qualitative concepts about simple electrical circuits. Similarly, subjects who received application questions did better than subjects who received no questions. Subjects who received conceptual change text also were more likely to display a more developmentally advanced model of electrical circuits on the post-test. However, both the conceptual change text variable and the application question variable interacted with the presence or absence of a pretest and sex of the subject. The implications of these results for the instructional theory of conceptual change and for instructional practice were discussed. © 1991.","author":[{"dropping-particle":"","family":"Wang","given":"Tianyu","non-dropping-particle":"","parse-names":false,"suffix":""},{"dropping-particle":"","family":"Andre","given":"Thomas","non-dropping-particle":"","parse-names":false,"suffix":""}],"container-title":"Contemporary Educational Psychology","id":"ITEM-1","issued":{"date-parts":[["1991"]]},"page":"103-116","title":"Conceptual change text versus traditional text and application questions versus no questions in learning about electricity","type":"article-journal","volume":"16"},"uris":["http://www.mendeley.com/documents/?uuid=6868200c-0893-4e3b-8141-8b22e54136b4"]},{"id":"ITEM-2","itemData":{"DOI":"10.1002/(SICI)1098-2736(199702)34:2&lt;107::AID-TEA2&gt;3.0.CO;2-X","ISSN":"00224308","abstract":"The present study investigated relationships between gender, interest and experience in electricity, and conceptual change text manipulations on learning fundamental direct current concepts. Conceptual change text has been shown to lead to better conceptual understanding of electrical concepts than traditional didactic text, but previous research suggested that the effect interacted with the gender of the participants. We hypothesized that interest moderated this interaction. In this study, men and women who had higher or lower interest in electricity and greater or lessor experience with electricity read conceptual change or traditional text. When interest level, experience, and prior knowledge were not included in the analysis, both gender and text type produced significant main effects. When interest level, experience, and prior knowledge were included in the analysis, conceptual change text led to better understanding of electricity concepts than did the traditional text, and the effect of gender was eliminated. This finding supports the hypothesis that prior interest level, experience, and knowledge mediate apparent gender differences in learning about electricity. It suggests that conceptual change text manipulations are likely to be effective for both men and women.","author":[{"dropping-particle":"","family":"Chambers","given":"Sharon K.","non-dropping-particle":"","parse-names":false,"suffix":""},{"dropping-particle":"","family":"Andre","given":"Thomas","non-dropping-particle":"","parse-names":false,"suffix":""}],"container-title":"Journal of Research in Science Teaching","id":"ITEM-2","issue":"2","issued":{"date-parts":[["1997"]]},"page":"107-123","title":"Gender, Prior Knowledge, Interest, and Experience in Electricity and Conceptual Change Text Manipulations in Learning about Direct Current","type":"article-journal","volume":"34"},"uris":["http://www.mendeley.com/documents/?uuid=99f081bb-2194-4ddc-bc0c-34cc798e67db"]}],"mendeley":{"formattedCitation":"(Chambers &amp; Andre, 1997; Wang &amp; Andre, 1991)","plainTextFormattedCitation":"(Chambers &amp; Andre, 1997; Wang &amp; Andre, 1991)","previouslyFormattedCitation":"(Chambers &amp; Andre, 1997; Wang &amp; Andre, 1991)"},"properties":{"noteIndex":0},"schema":"https://github.com/citation-style-language/schema/raw/master/csl-citation.json"}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(Chambers &amp; Andre, 1997; Wang &amp; Andre, 1991)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47912C9C" w14:textId="77777777" w:rsidR="00AD23CC" w:rsidRPr="00AD23CC" w:rsidRDefault="00AD23CC" w:rsidP="00AD23CC">
      <w:pPr>
        <w:spacing w:after="160" w:line="259" w:lineRule="auto"/>
        <w:rPr>
          <w:rFonts w:ascii="Calibri" w:eastAsia="Calibri" w:hAnsi="Calibri" w:cs="Arial"/>
          <w:sz w:val="22"/>
          <w:szCs w:val="22"/>
          <w:lang w:val="id-ID"/>
        </w:rPr>
      </w:pPr>
    </w:p>
    <w:p w14:paraId="27692BCC"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Several sections in the CCT must exist to fulfill the four Posner conditions. The first section is the process of activation or identification of possible student misconceptions. At this segment, phenomenon descriptions or conceptual facts are presented, then students are asked to make predictions or explanations about it. The second section presents narrative texts about any misconceptions, which are commonly occurring in the concept. From both sections, students will undergo cognitive conflict or dissatisfaction conditions. Students will curious to find scientific reasons that are intelligible and plausible. The descriptions are manifested in the third section by adapting from traditional texts. The final section presents a parallel study of misconceptions and scientific conceptions, then be continued by explanations related to future usage of the concept. To this section, a fruitfulness condition does achieve then students will be sure that the new concept will be useful.</w:t>
      </w:r>
    </w:p>
    <w:p w14:paraId="08C203C2" w14:textId="77777777" w:rsidR="00AD23CC" w:rsidRPr="00AD23CC" w:rsidRDefault="00AD23CC" w:rsidP="00AD23CC">
      <w:pPr>
        <w:spacing w:after="160" w:line="259" w:lineRule="auto"/>
        <w:rPr>
          <w:rFonts w:ascii="Calibri" w:eastAsia="Calibri" w:hAnsi="Calibri" w:cs="Arial"/>
          <w:sz w:val="22"/>
          <w:szCs w:val="22"/>
          <w:lang w:val="id-ID"/>
        </w:rPr>
      </w:pPr>
    </w:p>
    <w:p w14:paraId="1616EA5E"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CCT might be easier to develop than SBE because it is only based on text with the addition of images. Behind this convenience, many challenges must be allowed in using CCT for remediating misconceptions. Early in the CCT experimentation,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{"citationItems":[{"id":"ITEM-1","itemData":{"author":[{"dropping-particle":"","family":"Roth","given":"Kathleen J","non-dropping-particle":"","parse-names":false,"suffix":""}],"container-title":"American Educational Research Association","id":"ITEM-1","issued":{"date-parts":[["1985"]]},"publisher":"Association of American Publishers","publisher-place":"Washington, D.C.","title":"Conceptual Change Learning and Student Processing of Science Texts","type":"paper-conference"},"uris":["http://www.mendeley.com/documents/?uuid=02702d1a-5099-4e86-817f-9c26e01a3f33"]}],"mendeley":{"formattedCitation":"(Roth, 1985)","manualFormatting":"Roth (1985)","plainTextFormattedCitation":"(Roth, 1985)","previouslyFormattedCitation":"(Roth, 1985)"},"properties":{"noteIndex":0},"schema":"https://github.com/citation-style-language/schema/raw/master/csl-citation.json"}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Roth (1985)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has advised that "poor readers" had a problem learning from texts because they had weak reading strategies. They have a problem with catching the essence of the text addressed. CCT is only effective given to students with much reading skills. That can be improved by class discussions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{"citationItems":[{"id":"ITEM-1","itemData":{"author":[{"dropping-particle":"","family":"Özkan","given":"Gülbin","non-dropping-particle":"","parse-names":false,"suffix":""}],"container-title":"Asia-Pacific Forum on Science Learning and Teaching","id":"ITEM-1","issue":"1","issued":{"date-parts":[["2013"]]},"page":"1-23","title":"The use of conceptual change texts as class material in the teaching of “ sound ” in physics","type":"article-journal","volume":"14"},"uris":["http://www.mendeley.com/documents/?uuid=bd3df3e2-aa0b-4987-ba92-9b52ddf619dd"]},{"id":"ITEM-2","itemData":{"author":[{"dropping-particle":"","family":"Guzzetti","given":"Barbara J","non-dropping-particle":"","parse-names":false,"suffix":""},{"dropping-particle":"","family":"Williams","given":"Wayne O","non-dropping-particle":"","parse-names":false,"suffix":""},{"dropping-particle":"","family":"Skeels","given":"Stephanie A","non-dropping-particle":"","parse-names":false,"suffix":""},{"dropping-particle":"","family":"Wu","given":"Shwu Ming","non-dropping-particle":"","parse-names":false,"suffix":""}],"container-title":"Journal of Research in Science Teaching","id":"ITEM-2","issue":"7","issued":{"date-parts":[["1997"]]},"page":"701-719","title":"Influence of Text Structure on Learning Counterintuitive Physics Concepts","type":"article-journal","volume":"34"},"uris":["http://www.mendeley.com/documents/?uuid=c7fdc4f2-a379-4a5e-abc0-df42c8367c26"]}],"mendeley":{"formattedCitation":"(Guzzetti, Williams, Skeels, &amp; Wu, 1997; Özkan, 2013)","manualFormatting":"(Guzzetti et al., 1997; Özkan, 2013)","plainTextFormattedCitation":"(Guzzetti, Williams, Skeels, &amp; Wu, 1997; Özkan, 2013)","previouslyFormattedCitation":"(Guzzetti, Williams, Skeels, &amp; Wu, 1997; Özkan, 2013)"},"properties":{"noteIndex":0},"schema":"https://github.com/citation-style-language/schema/raw/master/csl-citation.json"}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(Guzzetti et al., 1997; Özkan, 2013)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Low interest in reading is also a cause of ineffective usage of CCT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{"citationItems":[{"id":"ITEM-1","itemData":{"DOI":"10.1016/0361-476X(91)90031-F","ISSN":"10902384","abstract":"The present study investigated the effect of conceptual change text and application questions on learning electricity concepts. In the conditions most similar to typical classroom situations, conceptual change text, as compared to traditional text, improved acquisition of qualitative concepts about simple electrical circuits. Similarly, subjects who received application questions did better than subjects who received no questions. Subjects who received conceptual change text also were more likely to display a more developmentally advanced model of electrical circuits on the post-test. However, both the conceptual change text variable and the application question variable interacted with the presence or absence of a pretest and sex of the subject. The implications of these results for the instructional theory of conceptual change and for instructional practice were discussed. © 1991.","author":[{"dropping-particle":"","family":"Wang","given":"Tianyu","non-dropping-particle":"","parse-names":false,"suffix":""},{"dropping-particle":"","family":"Andre","given":"Thomas","non-dropping-particle":"","parse-names":false,"suffix":""}],"container-title":"Contemporary Educational Psychology","id":"ITEM-1","issued":{"date-parts":[["1991"]]},"page":"103-116","title":"Conceptual change text versus traditional text and application questions versus no questions in learning about electricity","type":"article-journal","volume":"16"},"uris":["http://www.mendeley.com/documents/?uuid=6868200c-0893-4e3b-8141-8b22e54136b4"]}],"mendeley":{"formattedCitation":"(Wang &amp; Andre, 1991)","plainTextFormattedCitation":"(Wang &amp; Andre, 1991)","previouslyFormattedCitation":"(Wang &amp; Andre, 1991)"},"properties":{"noteIndex":0},"schema":"https://github.com/citation-style-language/schema/raw/master/csl-citation.json"}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(Wang &amp; Andre, 1991)</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Students will feel more bored and tired if only dealing with text features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{"citationItems":[{"id":"ITEM-1","itemData":{"DOI":"10.1002/(SICI)1098-2736(199702)34:2&lt;107::AID-TEA2&gt;3.0.CO;2-X","ISSN":"00224308","abstract":"The present study investigated relationships between gender, interest and experience in electricity, and conceptual change text manipulations on learning fundamental direct current concepts. Conceptual change text has been shown to lead to better conceptual understanding of electrical concepts than traditional didactic text, but previous research suggested that the effect interacted with the gender of the participants. We hypothesized that interest moderated this interaction. In this study, men and women who had higher or lower interest in electricity and greater or lessor experience with electricity read conceptual change or traditional text. When interest level, experience, and prior knowledge were not included in the analysis, both gender and text type produced significant main effects. When interest level, experience, and prior knowledge were included in the analysis, conceptual change text led to better understanding of electricity concepts than did the traditional text, and the effect of gender was eliminated. This finding supports the hypothesis that prior interest level, experience, and knowledge mediate apparent gender differences in learning about electricity. It suggests that conceptual change text manipulations are likely to be effective for both men and women.","author":[{"dropping-particle":"","family":"Chambers","given":"Sharon K.","non-dropping-particle":"","parse-names":false,"suffix":""},{"dropping-particle":"","family":"Andre","given":"Thomas","non-dropping-particle":"","parse-names":false,"suffix":""}],"container-title":"Journal of Research in Science Teaching","id":"ITEM-1","issue":"2","issued":{"date-parts":[["1997"]]},"page":"107-123","title":"Gender, Prior Knowledge, Interest, and Experience in Electricity and Conceptual Change Text Manipulations in Learning about Direct Current","type":"article-journal","volume":"34"},"uris":["http://www.mendeley.com/documents/?uuid=99f081bb-2194-4ddc-bc0c-34cc798e67db"]}],"mendeley":{"formattedCitation":"(Chambers &amp; Andre, 1997)","plainTextFormattedCitation":"(Chambers &amp; Andre, 1997)","previouslyFormattedCitation":"(Chambers &amp; Andre, 1997)"},"properties":{"noteIndex":0},"schema":"https://github.com/citation-style-language/schema/raw/master/csl-citation.json"}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(Chambers &amp; Andre, 1997)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blend of visual elements is needed to overcome this, such as interesting diagrams and illustrations. Therefore, the use of CCT has developed towards digital, such as Computer Supported Conceptual Change (CSCCT)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{"citationItems":[{"id":"ITEM-1","itemData":{"DOI":"10.1016/j.sbspro.2010.03.127","author":[{"dropping-particle":"","family":"Çepni","given":"Salih","non-dropping-particle":"","parse-names":false,"suffix":""}],"container-title":"Procedia Social and Behavioral Sciences","id":"ITEM-1","issued":{"date-parts":[["2010"]]},"page":"922-927","title":"Computer supported conceptual change text: Fluid pressure","type":"article-journal","volume":"2"},"uris":["http://www.mendeley.com/documents/?uuid=954dd3b9-4212-48f0-a355-9c1d98da1eb7"]}],"mendeley":{"formattedCitation":"(Çepni, 2010)","plainTextFormattedCitation":"(Çepni, 2010)","previouslyFormattedCitation":"(Çepni, 2010)"},"properties":{"noteIndex":0},"schema":"https://github.com/citation-style-language/schema/raw/master/csl-citation.json"}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(Çepni, 2010)</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0829D72B" w14:textId="77777777" w:rsidR="00AD23CC" w:rsidRPr="00AD23CC" w:rsidRDefault="00AD23CC" w:rsidP="00AD23CC">
      <w:pPr>
        <w:spacing w:after="160" w:line="259" w:lineRule="auto"/>
        <w:rPr>
          <w:rFonts w:ascii="Calibri" w:eastAsia="Calibri" w:hAnsi="Calibri" w:cs="Arial"/>
          <w:sz w:val="22"/>
          <w:szCs w:val="22"/>
          <w:lang w:val="id-ID"/>
        </w:rPr>
      </w:pPr>
    </w:p>
    <w:p w14:paraId="483036E1"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 xml:space="preserve">Inquiry-Based Learning (IBL) can be the next option for remediating misconceptions. The essential characteristic of IBL is to actively engage students to construct knowledge through identifying problems, predicting solutions, and adapting new information (assimilation) to accommodation knowledge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{"citationItems":[{"id":"ITEM-1","itemData":{"ISBN":"9780078024320","author":[{"dropping-particle":"","family":"Arends","given":"Richard I","non-dropping-particle":"","parse-names":false,"suffix":""}],"edition":"9th","id":"ITEM-1","issued":{"date-parts":[["2012"]]},"publisher":"McGraw-Hill","publisher-place":"New York","title":"Learning to Teach","type":"book"},"uris":["http://www.mendeley.com/documents/?uuid=c7aea533-9395-4227-97fb-0a6cf8941162"]}],"mendeley":{"formattedCitation":"(Arends, 2012)","plainTextFormattedCitation":"(Arends, 2012)","previouslyFormattedCitation":"(Arends, 2012)"},"properties":{"noteIndex":0},"schema":"https://github.com/citation-style-language/schema/raw/master/csl-citation.json"}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(Arends, 2012)</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The fundamental principle of IBL is the same as CCM, that's the Piaget's constructivism.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{"citationItems":[{"id":"ITEM-1","itemData":{"ISBN":"0805838252","author":[{"dropping-particle":"","family":"Vosniadou","given":"Stella","non-dropping-particle":"","parse-names":false,"suffix":""}],"container-title":"Intentional conceptual change","editor":[{"dropping-particle":"","family":"Sinatra","given":"Gale M.","non-dropping-particle":"","parse-names":false,"suffix":""},{"dropping-particle":"","family":"Pintrich","given":"Paul R.","non-dropping-particle":"","parse-names":false,"suffix":""}],"id":"ITEM-1","issued":{"date-parts":[["2003"]]},"publisher":"Lawrence Erlbaum Associates, Inc.","publisher-place":"New Jersey","title":"Exploring the Relationships Between Conceptual Change and Intentional Learning","type":"chapter"},"uris":["http://www.mendeley.com/documents/?uuid=0ddc070f-0c6c-43fb-a850-ad57580e9203"]}],"mendeley":{"formattedCitation":"(Vosniadou, 2003)","manualFormatting":"Vosniadou (2003)","plainTextFormattedCitation":"(Vosniadou, 2003)","previouslyFormattedCitation":"(Vosniadou, 2003)"},"properties":{"noteIndex":0},"schema":"https://github.com/citation-style-language/schema/raw/master/csl-citation.json"}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Vosniadou (2003)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has views on the essential characteristics for learning that are </w:t>
      </w:r>
      <w:r w:rsidRPr="00AD23CC">
        <w:rPr>
          <w:rFonts w:ascii="Calibri" w:eastAsia="Calibri" w:hAnsi="Calibri" w:cs="Arial"/>
          <w:sz w:val="22"/>
          <w:szCs w:val="22"/>
          <w:lang w:val="id-ID"/>
        </w:rPr>
        <w:lastRenderedPageBreak/>
        <w:t xml:space="preserve">following the CCM to restructure non-scientific conceptions: (1) generates conditions in which students can evaluate experiential evidence that confronts their ideas; (2) provides clear explanations related to scientific conception through modeling or analogy; (3) leads the demonstrations that prove scientific explanations; (4) promote the intentional learning that ensures students about the unities of conception. These features can be interpreted into IBL phases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{"citationItems":[{"id":"ITEM-1","itemData":{"DOI":"10.1002/tea","ISBN":"0959-4752","ISSN":"00224308","PMID":"9189908","abstract":"This study examined the impact of a professional development intervention aimed at helping elementary teachers incorporate elements of students’ home language and culture into science instruction. The intervention consisted of instructional units and materials and teacher workshops. The research involved 43 third- and fourth-grade teachers at six elementary schools in a large urban school district. These teachers participated in the intervention for 2 consecutive years. The study was conducted using both quantitative and qualitative methods based on focus group interviews, a questionnaire, and classroom observations. The results indicate that as teachers began their participation in the intervention, they rarely incorporated students’ home language or culture into science instruction. During the 2-year period of the intervention, teachers’ beliefs and practices remained relatively stable and did not show significant change. Possible explanations for the limited effectiveness of the intervention are addressed, and implications for professional development efforts are discussed.","author":[{"dropping-particle":"","family":"Trundle","given":"Kathy Cabe","non-dropping-particle":"","parse-names":false,"suffix":""},{"dropping-particle":"","family":"Atwood","given":"Ronald K.","non-dropping-particle":"","parse-names":false,"suffix":""},{"dropping-particle":"","family":"Christopher","given":"John E.","non-dropping-particle":"","parse-names":false,"suffix":""}],"container-title":"Journal of Research in Science Teaching","id":"ITEM-1","issue":"2","issued":{"date-parts":[["2007"]]},"page":"303–326","title":"A Longitudinal Study of Conceptual Change: Preservice Elementary Teachers’ Conceptions of Moon Phases","type":"article-journal","volume":"44"},"uris":["http://www.mendeley.com/documents/?uuid=8de2be5f-060d-4b18-b846-b61b8fa45675"]}],"mendeley":{"formattedCitation":"(Trundle, Atwood, &amp; Christopher, 2007)","manualFormatting":"(Trundle et al., 2007)","plainTextFormattedCitation":"(Trundle, Atwood, &amp; Christopher, 2007)","previouslyFormattedCitation":"(Trundle, Atwood, &amp; Christopher, 2007)"},"properties":{"noteIndex":0},"schema":"https://github.com/citation-style-language/schema/raw/master/csl-citation.json"}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(Trundle et al., 2007)</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Inquiry allows students to explore their ideas and challenge their ability to explain a concept so that it undergoes the mechanism of conceptual change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{"citationItems":[{"id":"ITEM-1","itemData":{"ISBN":"0805838252","author":[{"dropping-particle":"","family":"Vosniadou","given":"Stella","non-dropping-particle":"","parse-names":false,"suffix":""}],"container-title":"Intentional conceptual change","editor":[{"dropping-particle":"","family":"Sinatra","given":"Gale M.","non-dropping-particle":"","parse-names":false,"suffix":""},{"dropping-particle":"","family":"Pintrich","given":"Paul R.","non-dropping-particle":"","parse-names":false,"suffix":""}],"id":"ITEM-1","issued":{"date-parts":[["2003"]]},"publisher":"Lawrence Erlbaum Associates, Inc.","publisher-place":"New Jersey","title":"Exploring the Relationships Between Conceptual Change and Intentional Learning","type":"chapter"},"uris":["http://www.mendeley.com/documents/?uuid=0ddc070f-0c6c-43fb-a850-ad57580e9203"]}],"mendeley":{"formattedCitation":"(Vosniadou, 2003)","plainTextFormattedCitation":"(Vosniadou, 2003)","previouslyFormattedCitation":"(Vosniadou, 2003)"},"properties":{"noteIndex":0},"schema":"https://github.com/citation-style-language/schema/raw/master/csl-citation.json"}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(Vosniadou, 2003)</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 xml:space="preserve">. Through IBL, students will also get a deeper understanding of a concept and be able to apply it in various fields of life sciences </w:t>
      </w:r>
      <w:r w:rsidRPr="00AD23CC">
        <w:rPr>
          <w:rFonts w:ascii="Calibri" w:eastAsia="Calibri" w:hAnsi="Calibri" w:cs="Arial"/>
          <w:sz w:val="22"/>
          <w:szCs w:val="22"/>
          <w:lang w:val="id-ID"/>
        </w:rPr>
        <w:fldChar w:fldCharType="begin" w:fldLock="1"/>
      </w:r>
      <w:r w:rsidRPr="00AD23CC">
        <w:rPr>
          <w:rFonts w:ascii="Calibri" w:eastAsia="Calibri" w:hAnsi="Calibri" w:cs="Arial"/>
          <w:sz w:val="22"/>
          <w:szCs w:val="22"/>
          <w:lang w:val="id-ID"/>
        </w:rPr>
        <w:instrText>ADDIN CSL_CITATION {"citationItems":[{"id":"ITEM-1","itemData":{"DOI":"10.1007/s10984-015-9185-2","ISSN":"13871579","abstract":"Student outcomes of inquiry-based teaching and learning were explored through student-report. Participants were six teachers and their 181 students in grades 9 through 12. Classes were categorized by level of inquiry (least, middle, and most). A student-administered questionnaire assessed the extent to which the three groups experienced 23 potential inquiry outcomes in their classes. Principal components analysis was used to reduce the outcomes into four components, which were analyzed with a multivariate analysis of variance. Level of inquiry was significantly related to the inquiry outcomes examined. On Component 1—Learning Competencies, the most inquiry group scored significantly higher than the other two groups, this included outcomes such as content knowledge and learning process skills. Component 2, Personal Motivation, mapped onto outcomes relating to motivation, enjoyment, and creativity—students in the most-inquiry group scored significantly higher than those in the middle-inquiry group on this. Component 3, Student Role, addressed outcomes such as autonomy and sense of responsibility in the learner’s role—on this component, students in the most-inquiry group scored significantly higher than the other groups. Component 4 was comprised of outcomes relating to a traditional Teacher Role (e.g. emphasizing memorization of facts) and, as anticipated, students in the least-inquiry group rated these items significantly higher than those in the other groups. Students’ responses regarding cognitive, social, and emotional benefits of inquiry oriented classes affirmed that, consistent with social-constructivist theory, unique outcomes are achieved through inquiry more frequently and more effectively than through other, more traditional, forms of instruction. (PsycINFO Database Record (c) 2015 APA, all rights reserved). (journal abstract)","author":[{"dropping-particle":"","family":"Saunders-Stewart","given":"K. S.","non-dropping-particle":"","parse-names":false,"suffix":""},{"dropping-particle":"","family":"Gyles","given":"P. D.T.","non-dropping-particle":"","parse-names":false,"suffix":""},{"dropping-particle":"","family":"Shore","given":"B. M.","non-dropping-particle":"","parse-names":false,"suffix":""},{"dropping-particle":"","family":"Bracewell","given":"R. J.","non-dropping-particle":"","parse-names":false,"suffix":""}],"container-title":"Learning Environments Research","id":"ITEM-1","issue":"2","issued":{"date-parts":[["2015"]]},"page":"289-311","publisher":"Springer Netherlands","title":"Student outcomes in inquiry: students’ perspectives","type":"article-journal","volume":"18"},"uris":["http://www.mendeley.com/documents/?uuid=6717f814-67c9-469e-a0ea-bc2de3b17f6d"]}],"mendeley":{"formattedCitation":"(Saunders-Stewart, Gyles, Shore, &amp; Bracewell, 2015)","manualFormatting":"(Saunders-Stewart et al., 2015)","plainTextFormattedCitation":"(Saunders-Stewart, Gyles, Shore, &amp; Bracewell, 2015)","previouslyFormattedCitation":"(Saunders-Stewart, Gyles, Shore, &amp; Bracewell, 2015)"},"properties":{"noteIndex":0},"schema":"https://github.com/citation-style-language/schema/raw/master/csl-citation.json"}</w:instrText>
      </w:r>
      <w:r w:rsidRPr="00AD23CC">
        <w:rPr>
          <w:rFonts w:ascii="Calibri" w:eastAsia="Calibri" w:hAnsi="Calibri" w:cs="Arial"/>
          <w:sz w:val="22"/>
          <w:szCs w:val="22"/>
          <w:lang w:val="id-ID"/>
        </w:rPr>
        <w:fldChar w:fldCharType="separate"/>
      </w:r>
      <w:r w:rsidRPr="00AD23CC">
        <w:rPr>
          <w:rFonts w:ascii="Calibri" w:eastAsia="Calibri" w:hAnsi="Calibri" w:cs="Arial"/>
          <w:noProof/>
          <w:sz w:val="22"/>
          <w:szCs w:val="22"/>
          <w:lang w:val="id-ID"/>
        </w:rPr>
        <w:t>(Saunders-Stewart et al., 2015)</w:t>
      </w:r>
      <w:r w:rsidRPr="00AD23CC">
        <w:rPr>
          <w:rFonts w:ascii="Calibri" w:eastAsia="Calibri" w:hAnsi="Calibri" w:cs="Arial"/>
          <w:sz w:val="22"/>
          <w:szCs w:val="22"/>
          <w:lang w:val="id-ID"/>
        </w:rPr>
        <w:fldChar w:fldCharType="end"/>
      </w:r>
      <w:r w:rsidRPr="00AD23CC">
        <w:rPr>
          <w:rFonts w:ascii="Calibri" w:eastAsia="Calibri" w:hAnsi="Calibri" w:cs="Arial"/>
          <w:sz w:val="22"/>
          <w:szCs w:val="22"/>
          <w:lang w:val="id-ID"/>
        </w:rPr>
        <w:t>.</w:t>
      </w:r>
    </w:p>
    <w:p w14:paraId="7CB640A8" w14:textId="77777777" w:rsidR="00AD23CC" w:rsidRPr="00AD23CC" w:rsidRDefault="00AD23CC" w:rsidP="00AD23CC">
      <w:pPr>
        <w:spacing w:after="160" w:line="259" w:lineRule="auto"/>
        <w:rPr>
          <w:rFonts w:ascii="Calibri" w:eastAsia="Calibri" w:hAnsi="Calibri" w:cs="Arial"/>
          <w:sz w:val="22"/>
          <w:szCs w:val="22"/>
          <w:lang w:val="id-ID"/>
        </w:rPr>
      </w:pPr>
    </w:p>
    <w:p w14:paraId="76DB74F3"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Conclusions</w:t>
      </w:r>
    </w:p>
    <w:p w14:paraId="5C227B4C"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A misconception is a common issue in learning physics that should not be ignored by teachers. The consequence of misconceptions is critical in reaching the learning objectives. This review shows a lot of scientific publications about misconceptions in physics for the last fifteen years. A high number of publications indicate that the studies in misconceptions are still challenging and exciting for all areas. Three areas in studying misconceptions are identifying misconceptions through diagnostic tests, perceiving the causes, and remediating misconceptions. The diagnosing misconceptions and the treatment for remediating misconceptions become the most popular research areas. Actually, the two research areas support each other, because there is a sequence of the process of diagnosis and remediation of misconceptions. Each has a development of diagnostic tools and remediation methods from across the years.</w:t>
      </w:r>
    </w:p>
    <w:p w14:paraId="31E0F78A" w14:textId="77777777" w:rsidR="00AD23CC" w:rsidRPr="00AD23CC" w:rsidRDefault="00AD23CC" w:rsidP="00AD23CC">
      <w:pPr>
        <w:spacing w:after="160" w:line="259" w:lineRule="auto"/>
        <w:rPr>
          <w:rFonts w:ascii="Calibri" w:eastAsia="Calibri" w:hAnsi="Calibri" w:cs="Arial"/>
          <w:sz w:val="22"/>
          <w:szCs w:val="22"/>
          <w:lang w:val="id-ID"/>
        </w:rPr>
      </w:pPr>
    </w:p>
    <w:p w14:paraId="1E853650"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This review provides several essential points and recommendations for researchers or practitioners to better deal with misconceptions:</w:t>
      </w:r>
    </w:p>
    <w:p w14:paraId="778151FB" w14:textId="77777777" w:rsidR="00AD23CC" w:rsidRPr="00AD23CC" w:rsidRDefault="00AD23CC" w:rsidP="00AD23CC">
      <w:pPr>
        <w:numPr>
          <w:ilvl w:val="0"/>
          <w:numId w:val="14"/>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Educational practitioners including teachers, educators, and curriculum developers can adapt the results of misconception research to be applied in physics learning.</w:t>
      </w:r>
    </w:p>
    <w:p w14:paraId="37330FDB" w14:textId="77777777" w:rsidR="00AD23CC" w:rsidRPr="00AD23CC" w:rsidRDefault="00AD23CC" w:rsidP="00AD23CC">
      <w:pPr>
        <w:numPr>
          <w:ilvl w:val="0"/>
          <w:numId w:val="14"/>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The area of ​​research on misconception is still wide, especially of diagnostic tests, misconception remediation strategies, and some unexplored physics topics.</w:t>
      </w:r>
    </w:p>
    <w:p w14:paraId="3CF42032" w14:textId="77777777" w:rsidR="00AD23CC" w:rsidRPr="00AD23CC" w:rsidRDefault="00AD23CC" w:rsidP="00AD23CC">
      <w:pPr>
        <w:numPr>
          <w:ilvl w:val="0"/>
          <w:numId w:val="14"/>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Interviews become a powerful technique to find out new misconceptions (which have not been identified previously)</w:t>
      </w:r>
    </w:p>
    <w:p w14:paraId="7C83FD9F" w14:textId="77777777" w:rsidR="00AD23CC" w:rsidRPr="00AD23CC" w:rsidRDefault="00AD23CC" w:rsidP="00AD23CC">
      <w:pPr>
        <w:numPr>
          <w:ilvl w:val="0"/>
          <w:numId w:val="13"/>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Four-tier tests are more effective for a large number of participants.</w:t>
      </w:r>
    </w:p>
    <w:p w14:paraId="6EA5A655" w14:textId="77777777" w:rsidR="00AD23CC" w:rsidRPr="00AD23CC" w:rsidRDefault="00AD23CC" w:rsidP="00AD23CC">
      <w:pPr>
        <w:numPr>
          <w:ilvl w:val="0"/>
          <w:numId w:val="14"/>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The most effective of remediation strategies through the conceptual change approach are Simulation-Based Experiment, Conceptual Change Texts, and Inquiry-Based Learning.</w:t>
      </w:r>
    </w:p>
    <w:p w14:paraId="63EB0888" w14:textId="77777777" w:rsidR="00AD23CC" w:rsidRPr="00AD23CC" w:rsidRDefault="00AD23CC" w:rsidP="00AD23CC">
      <w:pPr>
        <w:numPr>
          <w:ilvl w:val="0"/>
          <w:numId w:val="14"/>
        </w:numPr>
        <w:spacing w:after="160" w:line="259" w:lineRule="auto"/>
        <w:contextualSpacing/>
        <w:rPr>
          <w:rFonts w:ascii="Calibri" w:eastAsia="Calibri" w:hAnsi="Calibri" w:cs="Arial"/>
          <w:sz w:val="22"/>
          <w:szCs w:val="22"/>
          <w:lang w:val="id-ID"/>
        </w:rPr>
      </w:pPr>
      <w:r w:rsidRPr="00AD23CC">
        <w:rPr>
          <w:rFonts w:ascii="Calibri" w:eastAsia="Calibri" w:hAnsi="Calibri" w:cs="Arial"/>
          <w:sz w:val="22"/>
          <w:szCs w:val="22"/>
          <w:lang w:val="id-ID"/>
        </w:rPr>
        <w:t>Prospective and pre-service teachers must be targeted for investigation so that they are aware of misconceptions and have an effort to eradicate them. Misconceptions mustn't enter professional careers when becoming teachers.</w:t>
      </w:r>
    </w:p>
    <w:p w14:paraId="4AB33AC6" w14:textId="77777777" w:rsidR="00AD23CC" w:rsidRPr="00AD23CC" w:rsidRDefault="00AD23CC" w:rsidP="00AD23CC">
      <w:pPr>
        <w:spacing w:after="160" w:line="259" w:lineRule="auto"/>
        <w:rPr>
          <w:rFonts w:ascii="Calibri" w:eastAsia="Calibri" w:hAnsi="Calibri" w:cs="Arial"/>
          <w:sz w:val="22"/>
          <w:szCs w:val="22"/>
          <w:lang w:val="id-ID"/>
        </w:rPr>
      </w:pPr>
    </w:p>
    <w:p w14:paraId="58E290F3"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t>There are still many other psychological parameters that need to be investigated in future research. The effect of student communication, parenting, and social environment on misconceptions seem to be the topic of future investigations.</w:t>
      </w:r>
    </w:p>
    <w:p w14:paraId="06DF9E03" w14:textId="77777777" w:rsidR="00AD23CC" w:rsidRPr="00AD23CC" w:rsidRDefault="00AD23CC" w:rsidP="00AD23CC">
      <w:pPr>
        <w:spacing w:after="160" w:line="259" w:lineRule="auto"/>
        <w:rPr>
          <w:rFonts w:ascii="Calibri" w:eastAsia="Calibri" w:hAnsi="Calibri" w:cs="Arial"/>
          <w:sz w:val="22"/>
          <w:szCs w:val="22"/>
          <w:lang w:val="id-ID"/>
        </w:rPr>
      </w:pPr>
    </w:p>
    <w:p w14:paraId="4BBD8380" w14:textId="77777777" w:rsidR="00AD23CC" w:rsidRPr="00AD23CC" w:rsidRDefault="00AD23CC" w:rsidP="00AD23CC">
      <w:pPr>
        <w:spacing w:after="160" w:line="259" w:lineRule="auto"/>
        <w:rPr>
          <w:rFonts w:ascii="Calibri" w:eastAsia="Calibri" w:hAnsi="Calibri" w:cs="Arial"/>
          <w:b/>
          <w:bCs/>
          <w:sz w:val="22"/>
          <w:szCs w:val="22"/>
          <w:lang w:val="id-ID"/>
        </w:rPr>
      </w:pPr>
      <w:r w:rsidRPr="00AD23CC">
        <w:rPr>
          <w:rFonts w:ascii="Calibri" w:eastAsia="Calibri" w:hAnsi="Calibri" w:cs="Arial"/>
          <w:b/>
          <w:bCs/>
          <w:sz w:val="22"/>
          <w:szCs w:val="22"/>
          <w:lang w:val="id-ID"/>
        </w:rPr>
        <w:t>References</w:t>
      </w:r>
    </w:p>
    <w:p w14:paraId="406A97F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Arial"/>
          <w:sz w:val="22"/>
          <w:szCs w:val="22"/>
          <w:lang w:val="id-ID"/>
        </w:rPr>
        <w:lastRenderedPageBreak/>
        <w:fldChar w:fldCharType="begin" w:fldLock="1"/>
      </w:r>
      <w:r w:rsidRPr="00AD23CC">
        <w:rPr>
          <w:rFonts w:ascii="Calibri" w:eastAsia="Calibri" w:hAnsi="Calibri" w:cs="Arial"/>
          <w:sz w:val="22"/>
          <w:szCs w:val="22"/>
          <w:lang w:val="id-ID"/>
        </w:rPr>
        <w:instrText xml:space="preserve">ADDIN Mendeley Bibliography CSL_BIBLIOGRAPHY </w:instrText>
      </w:r>
      <w:r w:rsidRPr="00AD23CC">
        <w:rPr>
          <w:rFonts w:ascii="Calibri" w:eastAsia="Calibri" w:hAnsi="Calibri" w:cs="Arial"/>
          <w:sz w:val="22"/>
          <w:szCs w:val="22"/>
          <w:lang w:val="id-ID"/>
        </w:rPr>
        <w:fldChar w:fldCharType="separate"/>
      </w:r>
      <w:r w:rsidRPr="00AD23CC">
        <w:rPr>
          <w:rFonts w:ascii="Calibri" w:eastAsia="Calibri" w:hAnsi="Calibri" w:cs="Calibri"/>
          <w:noProof/>
          <w:sz w:val="22"/>
          <w:szCs w:val="24"/>
          <w:lang w:val="id-ID"/>
        </w:rPr>
        <w:t xml:space="preserve">Abrahams, I., Homer, M., Sharpe, R., &amp; Zhou, M. (2015). A comparative cross-cultural study of the prevalence and nature of misconceptions in physics amongst English and Chinese undergraduate students. </w:t>
      </w:r>
      <w:r w:rsidRPr="00AD23CC">
        <w:rPr>
          <w:rFonts w:ascii="Calibri" w:eastAsia="Calibri" w:hAnsi="Calibri" w:cs="Calibri"/>
          <w:i/>
          <w:iCs/>
          <w:noProof/>
          <w:sz w:val="22"/>
          <w:szCs w:val="24"/>
          <w:lang w:val="id-ID"/>
        </w:rPr>
        <w:t>Research in Science &amp; Technological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33</w:t>
      </w:r>
      <w:r w:rsidRPr="00AD23CC">
        <w:rPr>
          <w:rFonts w:ascii="Calibri" w:eastAsia="Calibri" w:hAnsi="Calibri" w:cs="Calibri"/>
          <w:noProof/>
          <w:sz w:val="22"/>
          <w:szCs w:val="24"/>
          <w:lang w:val="id-ID"/>
        </w:rPr>
        <w:t>(1), 111–130. https://doi.org/10.1080/02635143.2014.987744</w:t>
      </w:r>
    </w:p>
    <w:p w14:paraId="5455EAF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Allen, M. (2014). </w:t>
      </w:r>
      <w:r w:rsidRPr="00AD23CC">
        <w:rPr>
          <w:rFonts w:ascii="Calibri" w:eastAsia="Calibri" w:hAnsi="Calibri" w:cs="Calibri"/>
          <w:i/>
          <w:iCs/>
          <w:noProof/>
          <w:sz w:val="22"/>
          <w:szCs w:val="24"/>
          <w:lang w:val="id-ID"/>
        </w:rPr>
        <w:t>Misconceptions in Primary Science 2nd Edition</w:t>
      </w:r>
      <w:r w:rsidRPr="00AD23CC">
        <w:rPr>
          <w:rFonts w:ascii="Calibri" w:eastAsia="Calibri" w:hAnsi="Calibri" w:cs="Calibri"/>
          <w:noProof/>
          <w:sz w:val="22"/>
          <w:szCs w:val="24"/>
          <w:lang w:val="id-ID"/>
        </w:rPr>
        <w:t>. New York: Open University Press.</w:t>
      </w:r>
    </w:p>
    <w:p w14:paraId="7F2359E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Alwan, A. A. (2011). Misconception of heat and temperature Among physics students Introduction : </w:t>
      </w:r>
      <w:r w:rsidRPr="00AD23CC">
        <w:rPr>
          <w:rFonts w:ascii="Calibri" w:eastAsia="Calibri" w:hAnsi="Calibri" w:cs="Calibri"/>
          <w:i/>
          <w:iCs/>
          <w:noProof/>
          <w:sz w:val="22"/>
          <w:szCs w:val="24"/>
          <w:lang w:val="id-ID"/>
        </w:rPr>
        <w:t>Procedia Social and Behavioral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12</w:t>
      </w:r>
      <w:r w:rsidRPr="00AD23CC">
        <w:rPr>
          <w:rFonts w:ascii="Calibri" w:eastAsia="Calibri" w:hAnsi="Calibri" w:cs="Calibri"/>
          <w:noProof/>
          <w:sz w:val="22"/>
          <w:szCs w:val="24"/>
          <w:lang w:val="id-ID"/>
        </w:rPr>
        <w:t>, 600–614. https://doi.org/10.1016/j.sbspro.2011.02.074</w:t>
      </w:r>
    </w:p>
    <w:p w14:paraId="0A3C9C6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Andersson, B., &amp; Kärrqvist, C. (1983). How swedish pupils, aged 12‐15 years, understand light and its properties. </w:t>
      </w:r>
      <w:r w:rsidRPr="00AD23CC">
        <w:rPr>
          <w:rFonts w:ascii="Calibri" w:eastAsia="Calibri" w:hAnsi="Calibri" w:cs="Calibri"/>
          <w:i/>
          <w:iCs/>
          <w:noProof/>
          <w:sz w:val="22"/>
          <w:szCs w:val="24"/>
          <w:lang w:val="id-ID"/>
        </w:rPr>
        <w:t>European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w:t>
      </w:r>
      <w:r w:rsidRPr="00AD23CC">
        <w:rPr>
          <w:rFonts w:ascii="Calibri" w:eastAsia="Calibri" w:hAnsi="Calibri" w:cs="Calibri"/>
          <w:noProof/>
          <w:sz w:val="22"/>
          <w:szCs w:val="24"/>
          <w:lang w:val="id-ID"/>
        </w:rPr>
        <w:t>(4), 387–402. https://doi.org/10.1080/0140528830050403</w:t>
      </w:r>
    </w:p>
    <w:p w14:paraId="5249F3B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Arends, R. I. (2012). </w:t>
      </w:r>
      <w:r w:rsidRPr="00AD23CC">
        <w:rPr>
          <w:rFonts w:ascii="Calibri" w:eastAsia="Calibri" w:hAnsi="Calibri" w:cs="Calibri"/>
          <w:i/>
          <w:iCs/>
          <w:noProof/>
          <w:sz w:val="22"/>
          <w:szCs w:val="24"/>
          <w:lang w:val="id-ID"/>
        </w:rPr>
        <w:t>Learning to Teach</w:t>
      </w:r>
      <w:r w:rsidRPr="00AD23CC">
        <w:rPr>
          <w:rFonts w:ascii="Calibri" w:eastAsia="Calibri" w:hAnsi="Calibri" w:cs="Calibri"/>
          <w:noProof/>
          <w:sz w:val="22"/>
          <w:szCs w:val="24"/>
          <w:lang w:val="id-ID"/>
        </w:rPr>
        <w:t xml:space="preserve"> (9th ed.). New York: McGraw-Hill. Retrieved from http://onlinelibrary.wiley.com/doi/10.1002/cbdv.200490137/abstract</w:t>
      </w:r>
    </w:p>
    <w:p w14:paraId="7A177F7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Aykutlu, I., Bezen, S., &amp; Bayrak, C. (2015). Teacher opinions about the conceptual challenges experienced in teaching physics curriculum topics. </w:t>
      </w:r>
      <w:r w:rsidRPr="00AD23CC">
        <w:rPr>
          <w:rFonts w:ascii="Calibri" w:eastAsia="Calibri" w:hAnsi="Calibri" w:cs="Calibri"/>
          <w:i/>
          <w:iCs/>
          <w:noProof/>
          <w:sz w:val="22"/>
          <w:szCs w:val="24"/>
          <w:lang w:val="id-ID"/>
        </w:rPr>
        <w:t>Procedia - Social and Behavioral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174</w:t>
      </w:r>
      <w:r w:rsidRPr="00AD23CC">
        <w:rPr>
          <w:rFonts w:ascii="Calibri" w:eastAsia="Calibri" w:hAnsi="Calibri" w:cs="Calibri"/>
          <w:noProof/>
          <w:sz w:val="22"/>
          <w:szCs w:val="24"/>
          <w:lang w:val="id-ID"/>
        </w:rPr>
        <w:t>, 390–405. https://doi.org/10.1016/j.sbspro.2015.01.681</w:t>
      </w:r>
    </w:p>
    <w:p w14:paraId="72818C6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Battelle for Kids. (2019). Framework for 21st Century Learning. In </w:t>
      </w:r>
      <w:r w:rsidRPr="00AD23CC">
        <w:rPr>
          <w:rFonts w:ascii="Calibri" w:eastAsia="Calibri" w:hAnsi="Calibri" w:cs="Calibri"/>
          <w:i/>
          <w:iCs/>
          <w:noProof/>
          <w:sz w:val="22"/>
          <w:szCs w:val="24"/>
          <w:lang w:val="id-ID"/>
        </w:rPr>
        <w:t>Partnership for 21st century learning</w:t>
      </w:r>
      <w:r w:rsidRPr="00AD23CC">
        <w:rPr>
          <w:rFonts w:ascii="Calibri" w:eastAsia="Calibri" w:hAnsi="Calibri" w:cs="Calibri"/>
          <w:noProof/>
          <w:sz w:val="22"/>
          <w:szCs w:val="24"/>
          <w:lang w:val="id-ID"/>
        </w:rPr>
        <w:t>. Retrieved from http://static.battelleforkids.org/documents/p21/P21_Framework_Brief.pdf</w:t>
      </w:r>
    </w:p>
    <w:p w14:paraId="6EF3868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Bayraktar, S. (2009). Misconceptions of turkish pre-service teachers about force and motion. </w:t>
      </w:r>
      <w:r w:rsidRPr="00AD23CC">
        <w:rPr>
          <w:rFonts w:ascii="Calibri" w:eastAsia="Calibri" w:hAnsi="Calibri" w:cs="Calibri"/>
          <w:i/>
          <w:iCs/>
          <w:noProof/>
          <w:sz w:val="22"/>
          <w:szCs w:val="24"/>
          <w:lang w:val="id-ID"/>
        </w:rPr>
        <w:t>International Journal of Science and Mathematics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7</w:t>
      </w:r>
      <w:r w:rsidRPr="00AD23CC">
        <w:rPr>
          <w:rFonts w:ascii="Calibri" w:eastAsia="Calibri" w:hAnsi="Calibri" w:cs="Calibri"/>
          <w:noProof/>
          <w:sz w:val="22"/>
          <w:szCs w:val="24"/>
          <w:lang w:val="id-ID"/>
        </w:rPr>
        <w:t>, 273–291.</w:t>
      </w:r>
    </w:p>
    <w:p w14:paraId="0F7DF8A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Bell, R. L., &amp; Trundle, K. C. (2008). The Use of a Computer Simulation to Promote Scientific Conceptions of Moon Phases.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45</w:t>
      </w:r>
      <w:r w:rsidRPr="00AD23CC">
        <w:rPr>
          <w:rFonts w:ascii="Calibri" w:eastAsia="Calibri" w:hAnsi="Calibri" w:cs="Calibri"/>
          <w:noProof/>
          <w:sz w:val="22"/>
          <w:szCs w:val="24"/>
          <w:lang w:val="id-ID"/>
        </w:rPr>
        <w:t>(3), 346–372. https://doi.org/10.1002/tea</w:t>
      </w:r>
    </w:p>
    <w:p w14:paraId="6EB8533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Binkley, M., Erstad, O., Herman, J., Raizen, S., Ripley, M., Miller-Ricci, M., &amp; Rumble, M. (2012). Defining Twenty-First Century Skills. In </w:t>
      </w:r>
      <w:r w:rsidRPr="00AD23CC">
        <w:rPr>
          <w:rFonts w:ascii="Calibri" w:eastAsia="Calibri" w:hAnsi="Calibri" w:cs="Calibri"/>
          <w:i/>
          <w:iCs/>
          <w:noProof/>
          <w:sz w:val="22"/>
          <w:szCs w:val="24"/>
          <w:lang w:val="id-ID"/>
        </w:rPr>
        <w:t>Assessment and Teaching of 21st Century Skills</w:t>
      </w:r>
      <w:r w:rsidRPr="00AD23CC">
        <w:rPr>
          <w:rFonts w:ascii="Calibri" w:eastAsia="Calibri" w:hAnsi="Calibri" w:cs="Calibri"/>
          <w:noProof/>
          <w:sz w:val="22"/>
          <w:szCs w:val="24"/>
          <w:lang w:val="id-ID"/>
        </w:rPr>
        <w:t xml:space="preserve"> (pp. 17–66). Springer Science+Business Media. https://doi.org/10.1007/978-94-017-9395-7</w:t>
      </w:r>
    </w:p>
    <w:p w14:paraId="305D4231"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Boujaoude, S. B. (1991). A study of the nature of students’ understandings about the concept of burning.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28</w:t>
      </w:r>
      <w:r w:rsidRPr="00AD23CC">
        <w:rPr>
          <w:rFonts w:ascii="Calibri" w:eastAsia="Calibri" w:hAnsi="Calibri" w:cs="Calibri"/>
          <w:noProof/>
          <w:sz w:val="22"/>
          <w:szCs w:val="24"/>
          <w:lang w:val="id-ID"/>
        </w:rPr>
        <w:t>(8), 689–704. https://doi.org/10.1002/tea.3660280806</w:t>
      </w:r>
    </w:p>
    <w:p w14:paraId="04C12A2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Brna, P. (1987). Confronting dynamics misconceptions. </w:t>
      </w:r>
      <w:r w:rsidRPr="00AD23CC">
        <w:rPr>
          <w:rFonts w:ascii="Calibri" w:eastAsia="Calibri" w:hAnsi="Calibri" w:cs="Calibri"/>
          <w:i/>
          <w:iCs/>
          <w:noProof/>
          <w:sz w:val="22"/>
          <w:szCs w:val="24"/>
          <w:lang w:val="id-ID"/>
        </w:rPr>
        <w:t>Instructional Science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16</w:t>
      </w:r>
      <w:r w:rsidRPr="00AD23CC">
        <w:rPr>
          <w:rFonts w:ascii="Calibri" w:eastAsia="Calibri" w:hAnsi="Calibri" w:cs="Calibri"/>
          <w:noProof/>
          <w:sz w:val="22"/>
          <w:szCs w:val="24"/>
          <w:lang w:val="id-ID"/>
        </w:rPr>
        <w:t>(4), 351–379. https://doi.org/10.1007/BF00117752</w:t>
      </w:r>
    </w:p>
    <w:p w14:paraId="017A86D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Çepni, S. (2010). Computer supported conceptual change text: Fluid pressure. </w:t>
      </w:r>
      <w:r w:rsidRPr="00AD23CC">
        <w:rPr>
          <w:rFonts w:ascii="Calibri" w:eastAsia="Calibri" w:hAnsi="Calibri" w:cs="Calibri"/>
          <w:i/>
          <w:iCs/>
          <w:noProof/>
          <w:sz w:val="22"/>
          <w:szCs w:val="24"/>
          <w:lang w:val="id-ID"/>
        </w:rPr>
        <w:t>Procedia Social and Behavioral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w:t>
      </w:r>
      <w:r w:rsidRPr="00AD23CC">
        <w:rPr>
          <w:rFonts w:ascii="Calibri" w:eastAsia="Calibri" w:hAnsi="Calibri" w:cs="Calibri"/>
          <w:noProof/>
          <w:sz w:val="22"/>
          <w:szCs w:val="24"/>
          <w:lang w:val="id-ID"/>
        </w:rPr>
        <w:t>, 922–927. https://doi.org/10.1016/j.sbspro.2010.03.127</w:t>
      </w:r>
    </w:p>
    <w:p w14:paraId="54939ED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Chambers, S. K., &amp; Andre, T. (1997). Gender, Prior Knowledge, Interest, and Experience in Electricity and Conceptual Change Text Manipulations in Learning about Direct Current.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34</w:t>
      </w:r>
      <w:r w:rsidRPr="00AD23CC">
        <w:rPr>
          <w:rFonts w:ascii="Calibri" w:eastAsia="Calibri" w:hAnsi="Calibri" w:cs="Calibri"/>
          <w:noProof/>
          <w:sz w:val="22"/>
          <w:szCs w:val="24"/>
          <w:lang w:val="id-ID"/>
        </w:rPr>
        <w:t>(2), 107–123. https://doi.org/10.1002/(SICI)1098-2736(199702)34:2&lt;107::AID-TEA2&gt;3.0.CO;2-X</w:t>
      </w:r>
    </w:p>
    <w:p w14:paraId="3E40F1C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Chang, H. P., Chen, J. Y., Guo, C. J., Chen, C. C., Chang, C. Y., Lin, S. H., … Tseng, Y. T. (2007). Investigating primary and secondary student’s learning of physics concepts in Taiwan.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29</w:t>
      </w:r>
      <w:r w:rsidRPr="00AD23CC">
        <w:rPr>
          <w:rFonts w:ascii="Calibri" w:eastAsia="Calibri" w:hAnsi="Calibri" w:cs="Calibri"/>
          <w:noProof/>
          <w:sz w:val="22"/>
          <w:szCs w:val="24"/>
          <w:lang w:val="id-ID"/>
        </w:rPr>
        <w:t>(4), 465–482. https://doi.org/10.1080/09500690601073210</w:t>
      </w:r>
    </w:p>
    <w:p w14:paraId="5C8723A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Chen, C., Sonnert, G., Sadler, P. M., Sasselov, D., &amp; Fredericks, C. (2019). The impact of student misconceptions on student persistence in a MOOC.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1–32. https://doi.org/10.1002/tea.21616</w:t>
      </w:r>
    </w:p>
    <w:p w14:paraId="47705DE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lastRenderedPageBreak/>
        <w:t xml:space="preserve">Chi, M. T. H., &amp; Roscoe, R. D. (2002). The Processes and Challenges of Conceptual Change. In M. Limón &amp; L. Mason (Eds.), </w:t>
      </w:r>
      <w:r w:rsidRPr="00AD23CC">
        <w:rPr>
          <w:rFonts w:ascii="Calibri" w:eastAsia="Calibri" w:hAnsi="Calibri" w:cs="Calibri"/>
          <w:i/>
          <w:iCs/>
          <w:noProof/>
          <w:sz w:val="22"/>
          <w:szCs w:val="24"/>
          <w:lang w:val="id-ID"/>
        </w:rPr>
        <w:t>Reconsidering Conceptual Change: Issues in Theory and Practice</w:t>
      </w:r>
      <w:r w:rsidRPr="00AD23CC">
        <w:rPr>
          <w:rFonts w:ascii="Calibri" w:eastAsia="Calibri" w:hAnsi="Calibri" w:cs="Calibri"/>
          <w:noProof/>
          <w:sz w:val="22"/>
          <w:szCs w:val="24"/>
          <w:lang w:val="id-ID"/>
        </w:rPr>
        <w:t xml:space="preserve"> (pp. 3–28). New York: Kluwer Academic Publishers.</w:t>
      </w:r>
    </w:p>
    <w:p w14:paraId="3CCFD17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Clement, J., Brown, D. E., &amp; Zietsman, A. (1989). Not all preconceptions are misconceptions: Finding ‘anchoring conceptions’ for grounding instruction on students’ intuitions.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11</w:t>
      </w:r>
      <w:r w:rsidRPr="00AD23CC">
        <w:rPr>
          <w:rFonts w:ascii="Calibri" w:eastAsia="Calibri" w:hAnsi="Calibri" w:cs="Calibri"/>
          <w:noProof/>
          <w:sz w:val="22"/>
          <w:szCs w:val="24"/>
          <w:lang w:val="id-ID"/>
        </w:rPr>
        <w:t>(5), 554–565. https://doi.org/10.1080/0950069890110507</w:t>
      </w:r>
    </w:p>
    <w:p w14:paraId="0BA2CA6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Colin, P., Chauvet, F., &amp; Viennot, L. (2002). Reading images in optics: Students’ difficulties and teachers’ views.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24</w:t>
      </w:r>
      <w:r w:rsidRPr="00AD23CC">
        <w:rPr>
          <w:rFonts w:ascii="Calibri" w:eastAsia="Calibri" w:hAnsi="Calibri" w:cs="Calibri"/>
          <w:noProof/>
          <w:sz w:val="22"/>
          <w:szCs w:val="24"/>
          <w:lang w:val="id-ID"/>
        </w:rPr>
        <w:t>(3), 313–332. https://doi.org/10.1080/09500690110078923</w:t>
      </w:r>
    </w:p>
    <w:p w14:paraId="7F3C5A1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De Jong, T., &amp; Van Joolingen, W. R. (1998). Scientific discovery learning with computer simulations of conceptual domains. </w:t>
      </w:r>
      <w:r w:rsidRPr="00AD23CC">
        <w:rPr>
          <w:rFonts w:ascii="Calibri" w:eastAsia="Calibri" w:hAnsi="Calibri" w:cs="Calibri"/>
          <w:i/>
          <w:iCs/>
          <w:noProof/>
          <w:sz w:val="22"/>
          <w:szCs w:val="24"/>
          <w:lang w:val="id-ID"/>
        </w:rPr>
        <w:t>Review of Educational Research</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68</w:t>
      </w:r>
      <w:r w:rsidRPr="00AD23CC">
        <w:rPr>
          <w:rFonts w:ascii="Calibri" w:eastAsia="Calibri" w:hAnsi="Calibri" w:cs="Calibri"/>
          <w:noProof/>
          <w:sz w:val="22"/>
          <w:szCs w:val="24"/>
          <w:lang w:val="id-ID"/>
        </w:rPr>
        <w:t>(2), 179–201. https://doi.org/10.3102/00346543068002179</w:t>
      </w:r>
    </w:p>
    <w:p w14:paraId="495806E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Dole, J. A., &amp; Sinatra, G. M. (1998). Reconceptualizing Change in the Cognitive Construction of Knowledge. </w:t>
      </w:r>
      <w:r w:rsidRPr="00AD23CC">
        <w:rPr>
          <w:rFonts w:ascii="Calibri" w:eastAsia="Calibri" w:hAnsi="Calibri" w:cs="Calibri"/>
          <w:i/>
          <w:iCs/>
          <w:noProof/>
          <w:sz w:val="22"/>
          <w:szCs w:val="24"/>
          <w:lang w:val="id-ID"/>
        </w:rPr>
        <w:t>Educational Psychologist</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33</w:t>
      </w:r>
      <w:r w:rsidRPr="00AD23CC">
        <w:rPr>
          <w:rFonts w:ascii="Calibri" w:eastAsia="Calibri" w:hAnsi="Calibri" w:cs="Calibri"/>
          <w:noProof/>
          <w:sz w:val="22"/>
          <w:szCs w:val="24"/>
          <w:lang w:val="id-ID"/>
        </w:rPr>
        <w:t>(3), 109–128. https://doi.org/10.1207/s15326985ep3302&amp;3_5</w:t>
      </w:r>
    </w:p>
    <w:p w14:paraId="510EC0A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Driver, R., &amp; Easley, J. (1978). Pupils and paradigms: A review of literature related to concept development in adolescent science students. </w:t>
      </w:r>
      <w:r w:rsidRPr="00AD23CC">
        <w:rPr>
          <w:rFonts w:ascii="Calibri" w:eastAsia="Calibri" w:hAnsi="Calibri" w:cs="Calibri"/>
          <w:i/>
          <w:iCs/>
          <w:noProof/>
          <w:sz w:val="22"/>
          <w:szCs w:val="24"/>
          <w:lang w:val="id-ID"/>
        </w:rPr>
        <w:t>Studies in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w:t>
      </w:r>
      <w:r w:rsidRPr="00AD23CC">
        <w:rPr>
          <w:rFonts w:ascii="Calibri" w:eastAsia="Calibri" w:hAnsi="Calibri" w:cs="Calibri"/>
          <w:noProof/>
          <w:sz w:val="22"/>
          <w:szCs w:val="24"/>
          <w:lang w:val="id-ID"/>
        </w:rPr>
        <w:t>(1), 61–84. https://doi.org/10.1080/03057267808559857</w:t>
      </w:r>
    </w:p>
    <w:p w14:paraId="3E02ECD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Erman, E. (2017). Factors contributing to students’ misconceptions in learning covalent bonds.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54</w:t>
      </w:r>
      <w:r w:rsidRPr="00AD23CC">
        <w:rPr>
          <w:rFonts w:ascii="Calibri" w:eastAsia="Calibri" w:hAnsi="Calibri" w:cs="Calibri"/>
          <w:noProof/>
          <w:sz w:val="22"/>
          <w:szCs w:val="24"/>
          <w:lang w:val="id-ID"/>
        </w:rPr>
        <w:t>(4), 520–537. https://doi.org/10.1002/tea.21375</w:t>
      </w:r>
    </w:p>
    <w:p w14:paraId="1143CF5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Fazio, C., &amp; Battaglia, O. R. (2018). Conceptual Understanding of Newtonian Mechanics Through Cluster Analysis of FCI Student Answers. </w:t>
      </w:r>
      <w:r w:rsidRPr="00AD23CC">
        <w:rPr>
          <w:rFonts w:ascii="Calibri" w:eastAsia="Calibri" w:hAnsi="Calibri" w:cs="Calibri"/>
          <w:i/>
          <w:iCs/>
          <w:noProof/>
          <w:sz w:val="22"/>
          <w:szCs w:val="24"/>
          <w:lang w:val="id-ID"/>
        </w:rPr>
        <w:t>International Journal of Science and Mathematics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17</w:t>
      </w:r>
      <w:r w:rsidRPr="00AD23CC">
        <w:rPr>
          <w:rFonts w:ascii="Calibri" w:eastAsia="Calibri" w:hAnsi="Calibri" w:cs="Calibri"/>
          <w:noProof/>
          <w:sz w:val="22"/>
          <w:szCs w:val="24"/>
          <w:lang w:val="id-ID"/>
        </w:rPr>
        <w:t>, 1497–1517. https://doi.org/10.1007/s10763-018-09944-1</w:t>
      </w:r>
    </w:p>
    <w:p w14:paraId="71760608"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Fisher, D., &amp; Frey, N. (2007). </w:t>
      </w:r>
      <w:r w:rsidRPr="00AD23CC">
        <w:rPr>
          <w:rFonts w:ascii="Calibri" w:eastAsia="Calibri" w:hAnsi="Calibri" w:cs="Calibri"/>
          <w:i/>
          <w:iCs/>
          <w:noProof/>
          <w:sz w:val="22"/>
          <w:szCs w:val="24"/>
          <w:lang w:val="id-ID"/>
        </w:rPr>
        <w:t>Checking for understanding: formative assessment techniques for your classroom</w:t>
      </w:r>
      <w:r w:rsidRPr="00AD23CC">
        <w:rPr>
          <w:rFonts w:ascii="Calibri" w:eastAsia="Calibri" w:hAnsi="Calibri" w:cs="Calibri"/>
          <w:noProof/>
          <w:sz w:val="22"/>
          <w:szCs w:val="24"/>
          <w:lang w:val="id-ID"/>
        </w:rPr>
        <w:t>. Alexandria, Virginia: Association for Supervision and Curriculum Development (ASCD).</w:t>
      </w:r>
    </w:p>
    <w:p w14:paraId="57D26168"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Franco, G. M., Muis, K. R., Kendeou, P., Ranellucci, J., Sampasivam, L., &amp; Wang, X. (2012). Examining the influences of epistemic beliefs and knowledge representations on cognitive processing and conceptual change when learning physics. </w:t>
      </w:r>
      <w:r w:rsidRPr="00AD23CC">
        <w:rPr>
          <w:rFonts w:ascii="Calibri" w:eastAsia="Calibri" w:hAnsi="Calibri" w:cs="Calibri"/>
          <w:i/>
          <w:iCs/>
          <w:noProof/>
          <w:sz w:val="22"/>
          <w:szCs w:val="24"/>
          <w:lang w:val="id-ID"/>
        </w:rPr>
        <w:t>Learning and Instruction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22</w:t>
      </w:r>
      <w:r w:rsidRPr="00AD23CC">
        <w:rPr>
          <w:rFonts w:ascii="Calibri" w:eastAsia="Calibri" w:hAnsi="Calibri" w:cs="Calibri"/>
          <w:noProof/>
          <w:sz w:val="22"/>
          <w:szCs w:val="24"/>
          <w:lang w:val="id-ID"/>
        </w:rPr>
        <w:t>(1), 62–77. https://doi.org/10.1016/j.learninstruc.2011.06.003</w:t>
      </w:r>
    </w:p>
    <w:p w14:paraId="3CEFC06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Gaigher, E. (2014). Questions about Answers : Probing Teachers ’ Awareness and Planned Remediation of Learners ’ Misconceptions about Electric Circuits. </w:t>
      </w:r>
      <w:r w:rsidRPr="00AD23CC">
        <w:rPr>
          <w:rFonts w:ascii="Calibri" w:eastAsia="Calibri" w:hAnsi="Calibri" w:cs="Calibri"/>
          <w:i/>
          <w:iCs/>
          <w:noProof/>
          <w:sz w:val="22"/>
          <w:szCs w:val="24"/>
          <w:lang w:val="id-ID"/>
        </w:rPr>
        <w:t>African Journal of Research in Mathematics , Science and Technology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18</w:t>
      </w:r>
      <w:r w:rsidRPr="00AD23CC">
        <w:rPr>
          <w:rFonts w:ascii="Calibri" w:eastAsia="Calibri" w:hAnsi="Calibri" w:cs="Calibri"/>
          <w:noProof/>
          <w:sz w:val="22"/>
          <w:szCs w:val="24"/>
          <w:lang w:val="id-ID"/>
        </w:rPr>
        <w:t>(2), 176–187. https://doi.org/10.1080/10288457.2014.925268</w:t>
      </w:r>
    </w:p>
    <w:p w14:paraId="54B4FF4A"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Gibson, D., &amp; Baek, Y. (Eds.). (2009). </w:t>
      </w:r>
      <w:r w:rsidRPr="00AD23CC">
        <w:rPr>
          <w:rFonts w:ascii="Calibri" w:eastAsia="Calibri" w:hAnsi="Calibri" w:cs="Calibri"/>
          <w:i/>
          <w:iCs/>
          <w:noProof/>
          <w:sz w:val="22"/>
          <w:szCs w:val="24"/>
          <w:lang w:val="id-ID"/>
        </w:rPr>
        <w:t>Digital simulations for improving education: Learning through artificial teaching environments</w:t>
      </w:r>
      <w:r w:rsidRPr="00AD23CC">
        <w:rPr>
          <w:rFonts w:ascii="Calibri" w:eastAsia="Calibri" w:hAnsi="Calibri" w:cs="Calibri"/>
          <w:noProof/>
          <w:sz w:val="22"/>
          <w:szCs w:val="24"/>
          <w:lang w:val="id-ID"/>
        </w:rPr>
        <w:t>. Hershey, PA: Information Science Reference. https://doi.org/10.4018/978-1-60566-322-7</w:t>
      </w:r>
    </w:p>
    <w:p w14:paraId="3EB2ABD9"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Goldberg, F. M., &amp; Mcdermott, L. C. (1986). Student difficulties in understanding image formation by a plane mirror. </w:t>
      </w:r>
      <w:r w:rsidRPr="00AD23CC">
        <w:rPr>
          <w:rFonts w:ascii="Calibri" w:eastAsia="Calibri" w:hAnsi="Calibri" w:cs="Calibri"/>
          <w:i/>
          <w:iCs/>
          <w:noProof/>
          <w:sz w:val="22"/>
          <w:szCs w:val="24"/>
          <w:lang w:val="id-ID"/>
        </w:rPr>
        <w:t>The Physics Teacher</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24</w:t>
      </w:r>
      <w:r w:rsidRPr="00AD23CC">
        <w:rPr>
          <w:rFonts w:ascii="Calibri" w:eastAsia="Calibri" w:hAnsi="Calibri" w:cs="Calibri"/>
          <w:noProof/>
          <w:sz w:val="22"/>
          <w:szCs w:val="24"/>
          <w:lang w:val="id-ID"/>
        </w:rPr>
        <w:t>, 472. https://doi.org/10.1119/1.2342096</w:t>
      </w:r>
    </w:p>
    <w:p w14:paraId="6777883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Goldberg, F. M., &amp; McDermott, L. C. (1987). An investigation of student understanding of the real image formed by a converging lens or concave mirror. </w:t>
      </w:r>
      <w:r w:rsidRPr="00AD23CC">
        <w:rPr>
          <w:rFonts w:ascii="Calibri" w:eastAsia="Calibri" w:hAnsi="Calibri" w:cs="Calibri"/>
          <w:i/>
          <w:iCs/>
          <w:noProof/>
          <w:sz w:val="22"/>
          <w:szCs w:val="24"/>
          <w:lang w:val="id-ID"/>
        </w:rPr>
        <w:t>American Journal of Physics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55</w:t>
      </w:r>
      <w:r w:rsidRPr="00AD23CC">
        <w:rPr>
          <w:rFonts w:ascii="Calibri" w:eastAsia="Calibri" w:hAnsi="Calibri" w:cs="Calibri"/>
          <w:noProof/>
          <w:sz w:val="22"/>
          <w:szCs w:val="24"/>
          <w:lang w:val="id-ID"/>
        </w:rPr>
        <w:t>(2), 108–119. https://doi.org/10.1119/1.15254</w:t>
      </w:r>
    </w:p>
    <w:p w14:paraId="6FB24EE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Gomez-Zwiep, S. (2008). Elementary teachers’ understanding of students’ science misconceptions: Implications for practice and teacher education. </w:t>
      </w:r>
      <w:r w:rsidRPr="00AD23CC">
        <w:rPr>
          <w:rFonts w:ascii="Calibri" w:eastAsia="Calibri" w:hAnsi="Calibri" w:cs="Calibri"/>
          <w:i/>
          <w:iCs/>
          <w:noProof/>
          <w:sz w:val="22"/>
          <w:szCs w:val="24"/>
          <w:lang w:val="id-ID"/>
        </w:rPr>
        <w:t>Journal of Science Teacher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19</w:t>
      </w:r>
      <w:r w:rsidRPr="00AD23CC">
        <w:rPr>
          <w:rFonts w:ascii="Calibri" w:eastAsia="Calibri" w:hAnsi="Calibri" w:cs="Calibri"/>
          <w:noProof/>
          <w:sz w:val="22"/>
          <w:szCs w:val="24"/>
          <w:lang w:val="id-ID"/>
        </w:rPr>
        <w:t>(5), 437–</w:t>
      </w:r>
      <w:r w:rsidRPr="00AD23CC">
        <w:rPr>
          <w:rFonts w:ascii="Calibri" w:eastAsia="Calibri" w:hAnsi="Calibri" w:cs="Calibri"/>
          <w:noProof/>
          <w:sz w:val="22"/>
          <w:szCs w:val="24"/>
          <w:lang w:val="id-ID"/>
        </w:rPr>
        <w:lastRenderedPageBreak/>
        <w:t>454. https://doi.org/10.1007/s10972-008-9102-y</w:t>
      </w:r>
    </w:p>
    <w:p w14:paraId="268A878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Gomez, P. J. S. (2016). Students’ Ideas and Radical Constructivism ´. </w:t>
      </w:r>
      <w:r w:rsidRPr="00AD23CC">
        <w:rPr>
          <w:rFonts w:ascii="Calibri" w:eastAsia="Calibri" w:hAnsi="Calibri" w:cs="Calibri"/>
          <w:i/>
          <w:iCs/>
          <w:noProof/>
          <w:sz w:val="22"/>
          <w:szCs w:val="24"/>
          <w:lang w:val="id-ID"/>
        </w:rPr>
        <w:t>Science &amp;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25</w:t>
      </w:r>
      <w:r w:rsidRPr="00AD23CC">
        <w:rPr>
          <w:rFonts w:ascii="Calibri" w:eastAsia="Calibri" w:hAnsi="Calibri" w:cs="Calibri"/>
          <w:noProof/>
          <w:sz w:val="22"/>
          <w:szCs w:val="24"/>
          <w:lang w:val="id-ID"/>
        </w:rPr>
        <w:t>, 629–650. https://doi.org/10.1007/s11191-016-9829-3</w:t>
      </w:r>
    </w:p>
    <w:p w14:paraId="2B7D3CB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Gönen, S. (2008). A study on student teachers’ Misconceptions and scientifically acceptable conceptions about mass and gravity. </w:t>
      </w:r>
      <w:r w:rsidRPr="00AD23CC">
        <w:rPr>
          <w:rFonts w:ascii="Calibri" w:eastAsia="Calibri" w:hAnsi="Calibri" w:cs="Calibri"/>
          <w:i/>
          <w:iCs/>
          <w:noProof/>
          <w:sz w:val="22"/>
          <w:szCs w:val="24"/>
          <w:lang w:val="id-ID"/>
        </w:rPr>
        <w:t>Journal of Science Education and Technology</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17</w:t>
      </w:r>
      <w:r w:rsidRPr="00AD23CC">
        <w:rPr>
          <w:rFonts w:ascii="Calibri" w:eastAsia="Calibri" w:hAnsi="Calibri" w:cs="Calibri"/>
          <w:noProof/>
          <w:sz w:val="22"/>
          <w:szCs w:val="24"/>
          <w:lang w:val="id-ID"/>
        </w:rPr>
        <w:t>(1), 70–81. https://doi.org/10.1007/s10956-007-9083-1</w:t>
      </w:r>
    </w:p>
    <w:p w14:paraId="7E8E7AE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Greca, I. M., &amp; Moreira, M. A. (2002). Mental, Physical, and Mathematical Models in the Teaching and Learning of Physics. </w:t>
      </w:r>
      <w:r w:rsidRPr="00AD23CC">
        <w:rPr>
          <w:rFonts w:ascii="Calibri" w:eastAsia="Calibri" w:hAnsi="Calibri" w:cs="Calibri"/>
          <w:i/>
          <w:iCs/>
          <w:noProof/>
          <w:sz w:val="22"/>
          <w:szCs w:val="24"/>
          <w:lang w:val="id-ID"/>
        </w:rPr>
        <w:t>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86</w:t>
      </w:r>
      <w:r w:rsidRPr="00AD23CC">
        <w:rPr>
          <w:rFonts w:ascii="Calibri" w:eastAsia="Calibri" w:hAnsi="Calibri" w:cs="Calibri"/>
          <w:noProof/>
          <w:sz w:val="22"/>
          <w:szCs w:val="24"/>
          <w:lang w:val="id-ID"/>
        </w:rPr>
        <w:t>(1), 106–121. https://doi.org/10.1002/sce.10013</w:t>
      </w:r>
    </w:p>
    <w:p w14:paraId="3B0D4AD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Griffard, P. B., &amp; Wandersee, J. H. (2001). The two-tier instrument on photosynthesis: What does it diagnose?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23</w:t>
      </w:r>
      <w:r w:rsidRPr="00AD23CC">
        <w:rPr>
          <w:rFonts w:ascii="Calibri" w:eastAsia="Calibri" w:hAnsi="Calibri" w:cs="Calibri"/>
          <w:noProof/>
          <w:sz w:val="22"/>
          <w:szCs w:val="24"/>
          <w:lang w:val="id-ID"/>
        </w:rPr>
        <w:t>(10), 1039–1052. https://doi.org/10.1080/09500690110038549</w:t>
      </w:r>
    </w:p>
    <w:p w14:paraId="07FC844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Guzzetti, B. J., Williams, W. O., Skeels, S. A., &amp; Wu, S. M. (1997). Influence of Text Structure on Learning Counterintuitive Physics Concepts.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34</w:t>
      </w:r>
      <w:r w:rsidRPr="00AD23CC">
        <w:rPr>
          <w:rFonts w:ascii="Calibri" w:eastAsia="Calibri" w:hAnsi="Calibri" w:cs="Calibri"/>
          <w:noProof/>
          <w:sz w:val="22"/>
          <w:szCs w:val="24"/>
          <w:lang w:val="id-ID"/>
        </w:rPr>
        <w:t>(7), 701–719.</w:t>
      </w:r>
    </w:p>
    <w:p w14:paraId="7D6C5D4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Halim, A., Lestari, D., &amp; Mustafa. (2019). Identification of the causes of misconception on the concept of dynamic electricity. </w:t>
      </w:r>
      <w:r w:rsidRPr="00AD23CC">
        <w:rPr>
          <w:rFonts w:ascii="Calibri" w:eastAsia="Calibri" w:hAnsi="Calibri" w:cs="Calibri"/>
          <w:i/>
          <w:iCs/>
          <w:noProof/>
          <w:sz w:val="22"/>
          <w:szCs w:val="24"/>
          <w:lang w:val="id-ID"/>
        </w:rPr>
        <w:t>J. Phys.: Conf. Ser.</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1280</w:t>
      </w:r>
      <w:r w:rsidRPr="00AD23CC">
        <w:rPr>
          <w:rFonts w:ascii="Calibri" w:eastAsia="Calibri" w:hAnsi="Calibri" w:cs="Calibri"/>
          <w:noProof/>
          <w:sz w:val="22"/>
          <w:szCs w:val="24"/>
          <w:lang w:val="id-ID"/>
        </w:rPr>
        <w:t>, 052060. https://doi.org/10.1088/1742-6596/1280/5/052060</w:t>
      </w:r>
    </w:p>
    <w:p w14:paraId="41436EC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Harlen, W. (2001). </w:t>
      </w:r>
      <w:r w:rsidRPr="00AD23CC">
        <w:rPr>
          <w:rFonts w:ascii="Calibri" w:eastAsia="Calibri" w:hAnsi="Calibri" w:cs="Calibri"/>
          <w:i/>
          <w:iCs/>
          <w:noProof/>
          <w:sz w:val="22"/>
          <w:szCs w:val="24"/>
          <w:lang w:val="id-ID"/>
        </w:rPr>
        <w:t>Teaching, learning and assessing science 5-12</w:t>
      </w:r>
      <w:r w:rsidRPr="00AD23CC">
        <w:rPr>
          <w:rFonts w:ascii="Calibri" w:eastAsia="Calibri" w:hAnsi="Calibri" w:cs="Calibri"/>
          <w:noProof/>
          <w:sz w:val="22"/>
          <w:szCs w:val="24"/>
          <w:lang w:val="id-ID"/>
        </w:rPr>
        <w:t>. London: Paul Chapman Publishing Ltd.</w:t>
      </w:r>
    </w:p>
    <w:p w14:paraId="52FE414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Helm, H. (1980). Misconceptions in physics amongst South African students. </w:t>
      </w:r>
      <w:r w:rsidRPr="00AD23CC">
        <w:rPr>
          <w:rFonts w:ascii="Calibri" w:eastAsia="Calibri" w:hAnsi="Calibri" w:cs="Calibri"/>
          <w:i/>
          <w:iCs/>
          <w:noProof/>
          <w:sz w:val="22"/>
          <w:szCs w:val="24"/>
          <w:lang w:val="id-ID"/>
        </w:rPr>
        <w:t>Physics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15</w:t>
      </w:r>
      <w:r w:rsidRPr="00AD23CC">
        <w:rPr>
          <w:rFonts w:ascii="Calibri" w:eastAsia="Calibri" w:hAnsi="Calibri" w:cs="Calibri"/>
          <w:noProof/>
          <w:sz w:val="22"/>
          <w:szCs w:val="24"/>
          <w:lang w:val="id-ID"/>
        </w:rPr>
        <w:t>(2), 92–105. https://doi.org/10.1088/0031-9120/15/2/308</w:t>
      </w:r>
    </w:p>
    <w:p w14:paraId="7F1B315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Hestenes, D., Wells, M., &amp; Swackhamer, G. (1992). Force Concept Inventory. </w:t>
      </w:r>
      <w:r w:rsidRPr="00AD23CC">
        <w:rPr>
          <w:rFonts w:ascii="Calibri" w:eastAsia="Calibri" w:hAnsi="Calibri" w:cs="Calibri"/>
          <w:i/>
          <w:iCs/>
          <w:noProof/>
          <w:sz w:val="22"/>
          <w:szCs w:val="24"/>
          <w:lang w:val="id-ID"/>
        </w:rPr>
        <w:t>The Physics Teacher</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30</w:t>
      </w:r>
      <w:r w:rsidRPr="00AD23CC">
        <w:rPr>
          <w:rFonts w:ascii="Calibri" w:eastAsia="Calibri" w:hAnsi="Calibri" w:cs="Calibri"/>
          <w:noProof/>
          <w:sz w:val="22"/>
          <w:szCs w:val="24"/>
          <w:lang w:val="id-ID"/>
        </w:rPr>
        <w:t>(March), 141–158.</w:t>
      </w:r>
    </w:p>
    <w:p w14:paraId="5140835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Ilyas, A., &amp; Saeed, M. (2018). Exploring Teachers’ Understanding about Misconceptions of Secondary Grade Chemistry Students. </w:t>
      </w:r>
      <w:r w:rsidRPr="00AD23CC">
        <w:rPr>
          <w:rFonts w:ascii="Calibri" w:eastAsia="Calibri" w:hAnsi="Calibri" w:cs="Calibri"/>
          <w:i/>
          <w:iCs/>
          <w:noProof/>
          <w:sz w:val="22"/>
          <w:szCs w:val="24"/>
          <w:lang w:val="id-ID"/>
        </w:rPr>
        <w:t>International Journal for Cross-Disciplinary Subjects in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9</w:t>
      </w:r>
      <w:r w:rsidRPr="00AD23CC">
        <w:rPr>
          <w:rFonts w:ascii="Calibri" w:eastAsia="Calibri" w:hAnsi="Calibri" w:cs="Calibri"/>
          <w:noProof/>
          <w:sz w:val="22"/>
          <w:szCs w:val="24"/>
          <w:lang w:val="id-ID"/>
        </w:rPr>
        <w:t>(1), 3323–3328. https://doi.org/10.20533/ijcdse.2042.6364.2018.0444</w:t>
      </w:r>
    </w:p>
    <w:p w14:paraId="32FB650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Januszewski, A., &amp; Molenda, M. (2008). </w:t>
      </w:r>
      <w:r w:rsidRPr="00AD23CC">
        <w:rPr>
          <w:rFonts w:ascii="Calibri" w:eastAsia="Calibri" w:hAnsi="Calibri" w:cs="Calibri"/>
          <w:i/>
          <w:iCs/>
          <w:noProof/>
          <w:sz w:val="22"/>
          <w:szCs w:val="24"/>
          <w:lang w:val="id-ID"/>
        </w:rPr>
        <w:t>Educational Technology: A Definition with Commentary</w:t>
      </w:r>
      <w:r w:rsidRPr="00AD23CC">
        <w:rPr>
          <w:rFonts w:ascii="Calibri" w:eastAsia="Calibri" w:hAnsi="Calibri" w:cs="Calibri"/>
          <w:noProof/>
          <w:sz w:val="22"/>
          <w:szCs w:val="24"/>
          <w:lang w:val="id-ID"/>
        </w:rPr>
        <w:t>. New York, NY: Taylor &amp; Francis Group, LLC.</w:t>
      </w:r>
    </w:p>
    <w:p w14:paraId="715F1E1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Jenkins, E. W. (2000). Constructivism in School Science Education: Powerful Model or the Most Dangerous Intellectual Tendency? </w:t>
      </w:r>
      <w:r w:rsidRPr="00AD23CC">
        <w:rPr>
          <w:rFonts w:ascii="Calibri" w:eastAsia="Calibri" w:hAnsi="Calibri" w:cs="Calibri"/>
          <w:i/>
          <w:iCs/>
          <w:noProof/>
          <w:sz w:val="22"/>
          <w:szCs w:val="24"/>
          <w:lang w:val="id-ID"/>
        </w:rPr>
        <w:t>Science &amp;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9</w:t>
      </w:r>
      <w:r w:rsidRPr="00AD23CC">
        <w:rPr>
          <w:rFonts w:ascii="Calibri" w:eastAsia="Calibri" w:hAnsi="Calibri" w:cs="Calibri"/>
          <w:noProof/>
          <w:sz w:val="22"/>
          <w:szCs w:val="24"/>
          <w:lang w:val="id-ID"/>
        </w:rPr>
        <w:t>, 599–610.</w:t>
      </w:r>
    </w:p>
    <w:p w14:paraId="69118DA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Kaltakci-gurel, D., Eryilmaz, A., &amp; Mcdermott, L. C. (2017). Development and application of a four-tier test to assess pre-service physics teachers’ misconceptions about geometrical optics. </w:t>
      </w:r>
      <w:r w:rsidRPr="00AD23CC">
        <w:rPr>
          <w:rFonts w:ascii="Calibri" w:eastAsia="Calibri" w:hAnsi="Calibri" w:cs="Calibri"/>
          <w:i/>
          <w:iCs/>
          <w:noProof/>
          <w:sz w:val="22"/>
          <w:szCs w:val="24"/>
          <w:lang w:val="id-ID"/>
        </w:rPr>
        <w:t>Research in Science &amp; Technological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35</w:t>
      </w:r>
      <w:r w:rsidRPr="00AD23CC">
        <w:rPr>
          <w:rFonts w:ascii="Calibri" w:eastAsia="Calibri" w:hAnsi="Calibri" w:cs="Calibri"/>
          <w:noProof/>
          <w:sz w:val="22"/>
          <w:szCs w:val="24"/>
          <w:lang w:val="id-ID"/>
        </w:rPr>
        <w:t>(2), 238–260. https://doi.org/10.1080/02635143.2017.1310094</w:t>
      </w:r>
    </w:p>
    <w:p w14:paraId="617415E9"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Kaltakci-Gurel, D., Eryilmaz, A., &amp; McDermott, L. C. (2015). A review and comparison of diagnostic instruments to identify students’ misconceptions in science. </w:t>
      </w:r>
      <w:r w:rsidRPr="00AD23CC">
        <w:rPr>
          <w:rFonts w:ascii="Calibri" w:eastAsia="Calibri" w:hAnsi="Calibri" w:cs="Calibri"/>
          <w:i/>
          <w:iCs/>
          <w:noProof/>
          <w:sz w:val="22"/>
          <w:szCs w:val="24"/>
          <w:lang w:val="id-ID"/>
        </w:rPr>
        <w:t>Eurasia Journal of Mathematics, Science and Technology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11</w:t>
      </w:r>
      <w:r w:rsidRPr="00AD23CC">
        <w:rPr>
          <w:rFonts w:ascii="Calibri" w:eastAsia="Calibri" w:hAnsi="Calibri" w:cs="Calibri"/>
          <w:noProof/>
          <w:sz w:val="22"/>
          <w:szCs w:val="24"/>
          <w:lang w:val="id-ID"/>
        </w:rPr>
        <w:t>(5), 989–1008. https://doi.org/10.12973/eurasia.2015.1369a</w:t>
      </w:r>
    </w:p>
    <w:p w14:paraId="3D79681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Kang, H., Scharmann, L. C., Kang, S., &amp; Noh, T. (2010). Cognitive conflict and situational interest as factors influencing conceptual change. </w:t>
      </w:r>
      <w:r w:rsidRPr="00AD23CC">
        <w:rPr>
          <w:rFonts w:ascii="Calibri" w:eastAsia="Calibri" w:hAnsi="Calibri" w:cs="Calibri"/>
          <w:i/>
          <w:iCs/>
          <w:noProof/>
          <w:sz w:val="22"/>
          <w:szCs w:val="24"/>
          <w:lang w:val="id-ID"/>
        </w:rPr>
        <w:t>International Journal of Environmental and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w:t>
      </w:r>
      <w:r w:rsidRPr="00AD23CC">
        <w:rPr>
          <w:rFonts w:ascii="Calibri" w:eastAsia="Calibri" w:hAnsi="Calibri" w:cs="Calibri"/>
          <w:noProof/>
          <w:sz w:val="22"/>
          <w:szCs w:val="24"/>
          <w:lang w:val="id-ID"/>
        </w:rPr>
        <w:t>(4), 383–405.</w:t>
      </w:r>
    </w:p>
    <w:p w14:paraId="759BB33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Kaniawati, I., Fratiwi, N. J., Danawan, A., &amp; Suyana, I. (2019). Analyzing Students’ Misconceptions about Newton’s Laws through Four-Tier Newtonian Test (FTNT). </w:t>
      </w:r>
      <w:r w:rsidRPr="00AD23CC">
        <w:rPr>
          <w:rFonts w:ascii="Calibri" w:eastAsia="Calibri" w:hAnsi="Calibri" w:cs="Calibri"/>
          <w:i/>
          <w:iCs/>
          <w:noProof/>
          <w:sz w:val="22"/>
          <w:szCs w:val="24"/>
          <w:lang w:val="id-ID"/>
        </w:rPr>
        <w:t>Journal of Turkish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16</w:t>
      </w:r>
      <w:r w:rsidRPr="00AD23CC">
        <w:rPr>
          <w:rFonts w:ascii="Calibri" w:eastAsia="Calibri" w:hAnsi="Calibri" w:cs="Calibri"/>
          <w:noProof/>
          <w:sz w:val="22"/>
          <w:szCs w:val="24"/>
          <w:lang w:val="id-ID"/>
        </w:rPr>
        <w:t>(1), 110–122. https://doi.org/10.12973/tused.10269a</w:t>
      </w:r>
    </w:p>
    <w:p w14:paraId="7136416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lastRenderedPageBreak/>
        <w:t xml:space="preserve">Karpudewan, M., Zain, A. N. M., &amp; Chandrasegaran, A. L. (2017). Introduction: Misconceptions in Science Education: An Overview. In M. Karpudewan, A. N. M. Zain, &amp; A. L. Chandrasegaran (Eds.), </w:t>
      </w:r>
      <w:r w:rsidRPr="00AD23CC">
        <w:rPr>
          <w:rFonts w:ascii="Calibri" w:eastAsia="Calibri" w:hAnsi="Calibri" w:cs="Calibri"/>
          <w:i/>
          <w:iCs/>
          <w:noProof/>
          <w:sz w:val="22"/>
          <w:szCs w:val="24"/>
          <w:lang w:val="id-ID"/>
        </w:rPr>
        <w:t>Overcoming Students’ Misconceptions in Science</w:t>
      </w:r>
      <w:r w:rsidRPr="00AD23CC">
        <w:rPr>
          <w:rFonts w:ascii="Calibri" w:eastAsia="Calibri" w:hAnsi="Calibri" w:cs="Calibri"/>
          <w:noProof/>
          <w:sz w:val="22"/>
          <w:szCs w:val="24"/>
          <w:lang w:val="id-ID"/>
        </w:rPr>
        <w:t xml:space="preserve"> (pp. 1–8). Singapore: Springer Nature.</w:t>
      </w:r>
    </w:p>
    <w:p w14:paraId="49780E1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Kele, Ö., Erta, H., Uzun, N., &amp; Cans, M. (2010). The understanding levels of preservice teachers ’ of basic science concepts ’ measurement units and devices , their misconceptions and its causes. </w:t>
      </w:r>
      <w:r w:rsidRPr="00AD23CC">
        <w:rPr>
          <w:rFonts w:ascii="Calibri" w:eastAsia="Calibri" w:hAnsi="Calibri" w:cs="Calibri"/>
          <w:i/>
          <w:iCs/>
          <w:noProof/>
          <w:sz w:val="22"/>
          <w:szCs w:val="24"/>
          <w:lang w:val="id-ID"/>
        </w:rPr>
        <w:t>Procedia Social and Behavioral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9</w:t>
      </w:r>
      <w:r w:rsidRPr="00AD23CC">
        <w:rPr>
          <w:rFonts w:ascii="Calibri" w:eastAsia="Calibri" w:hAnsi="Calibri" w:cs="Calibri"/>
          <w:noProof/>
          <w:sz w:val="22"/>
          <w:szCs w:val="24"/>
          <w:lang w:val="id-ID"/>
        </w:rPr>
        <w:t>, 390–394. https://doi.org/10.1016/j.sbspro.2010.12.170</w:t>
      </w:r>
    </w:p>
    <w:p w14:paraId="1DC27EED"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Kibirige, I., Osodo, J., &amp; Tlala, K. M. (2014). The effect of predict-observe-explain strategy on learners’ misconceptions about dissolved salts. </w:t>
      </w:r>
      <w:r w:rsidRPr="00AD23CC">
        <w:rPr>
          <w:rFonts w:ascii="Calibri" w:eastAsia="Calibri" w:hAnsi="Calibri" w:cs="Calibri"/>
          <w:i/>
          <w:iCs/>
          <w:noProof/>
          <w:sz w:val="22"/>
          <w:szCs w:val="24"/>
          <w:lang w:val="id-ID"/>
        </w:rPr>
        <w:t>Mediterranean Journal of Social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w:t>
      </w:r>
      <w:r w:rsidRPr="00AD23CC">
        <w:rPr>
          <w:rFonts w:ascii="Calibri" w:eastAsia="Calibri" w:hAnsi="Calibri" w:cs="Calibri"/>
          <w:noProof/>
          <w:sz w:val="22"/>
          <w:szCs w:val="24"/>
          <w:lang w:val="id-ID"/>
        </w:rPr>
        <w:t>(4), 300–310. https://doi.org/10.5901/mjss.2014.v5n4p300</w:t>
      </w:r>
    </w:p>
    <w:p w14:paraId="498BFE6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Klammer, J. (1998). An Overview of Techniques for Identifying , Acknowledging and Overcoming Alternate Conceptions in Physics Education. </w:t>
      </w:r>
      <w:r w:rsidRPr="00AD23CC">
        <w:rPr>
          <w:rFonts w:ascii="Calibri" w:eastAsia="Calibri" w:hAnsi="Calibri" w:cs="Calibri"/>
          <w:i/>
          <w:iCs/>
          <w:noProof/>
          <w:sz w:val="22"/>
          <w:szCs w:val="24"/>
          <w:lang w:val="id-ID"/>
        </w:rPr>
        <w:t>Klingenstein Project Report, Teachers College-Columbia University.</w:t>
      </w:r>
      <w:r w:rsidRPr="00AD23CC">
        <w:rPr>
          <w:rFonts w:ascii="Calibri" w:eastAsia="Calibri" w:hAnsi="Calibri" w:cs="Calibri"/>
          <w:noProof/>
          <w:sz w:val="22"/>
          <w:szCs w:val="24"/>
          <w:lang w:val="id-ID"/>
        </w:rPr>
        <w:t xml:space="preserve"> Retrieved from http://files.eric.ed.gov/fulltext/ED423121.pdf</w:t>
      </w:r>
    </w:p>
    <w:p w14:paraId="1AAB60A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Knowles, M. S., Holton, E. F., &amp; Swanson, R. A. (2005). </w:t>
      </w:r>
      <w:r w:rsidRPr="00AD23CC">
        <w:rPr>
          <w:rFonts w:ascii="Calibri" w:eastAsia="Calibri" w:hAnsi="Calibri" w:cs="Calibri"/>
          <w:i/>
          <w:iCs/>
          <w:noProof/>
          <w:sz w:val="22"/>
          <w:szCs w:val="24"/>
          <w:lang w:val="id-ID"/>
        </w:rPr>
        <w:t>The adult learner: the definitive classic in adult education and human resource development</w:t>
      </w:r>
      <w:r w:rsidRPr="00AD23CC">
        <w:rPr>
          <w:rFonts w:ascii="Calibri" w:eastAsia="Calibri" w:hAnsi="Calibri" w:cs="Calibri"/>
          <w:noProof/>
          <w:sz w:val="22"/>
          <w:szCs w:val="24"/>
          <w:lang w:val="id-ID"/>
        </w:rPr>
        <w:t xml:space="preserve"> (6th ed.). Amsterdam: Elsevier.</w:t>
      </w:r>
    </w:p>
    <w:p w14:paraId="3BA7B91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Kolb, D. A. (2015). </w:t>
      </w:r>
      <w:r w:rsidRPr="00AD23CC">
        <w:rPr>
          <w:rFonts w:ascii="Calibri" w:eastAsia="Calibri" w:hAnsi="Calibri" w:cs="Calibri"/>
          <w:i/>
          <w:iCs/>
          <w:noProof/>
          <w:sz w:val="22"/>
          <w:szCs w:val="24"/>
          <w:lang w:val="id-ID"/>
        </w:rPr>
        <w:t>Experiential learning: experience as the source of learning and development</w:t>
      </w:r>
      <w:r w:rsidRPr="00AD23CC">
        <w:rPr>
          <w:rFonts w:ascii="Calibri" w:eastAsia="Calibri" w:hAnsi="Calibri" w:cs="Calibri"/>
          <w:noProof/>
          <w:sz w:val="22"/>
          <w:szCs w:val="24"/>
          <w:lang w:val="id-ID"/>
        </w:rPr>
        <w:t xml:space="preserve"> (Second). New Jersey: Pearson Education, Inc.</w:t>
      </w:r>
    </w:p>
    <w:p w14:paraId="2C7479B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Komorek, M., &amp; Duit, R. (2004). The teaching experiment as a powerful method to develop and evaluate teaching and learning sequences in the domain of non-linear systems.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26</w:t>
      </w:r>
      <w:r w:rsidRPr="00AD23CC">
        <w:rPr>
          <w:rFonts w:ascii="Calibri" w:eastAsia="Calibri" w:hAnsi="Calibri" w:cs="Calibri"/>
          <w:noProof/>
          <w:sz w:val="22"/>
          <w:szCs w:val="24"/>
          <w:lang w:val="id-ID"/>
        </w:rPr>
        <w:t>(5), 619–633. https://doi.org/10.1080/09500690310001614717</w:t>
      </w:r>
    </w:p>
    <w:p w14:paraId="0B6DB9C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Konicek-Moran, R., &amp; Keeley, P. (2015). </w:t>
      </w:r>
      <w:r w:rsidRPr="00AD23CC">
        <w:rPr>
          <w:rFonts w:ascii="Calibri" w:eastAsia="Calibri" w:hAnsi="Calibri" w:cs="Calibri"/>
          <w:i/>
          <w:iCs/>
          <w:noProof/>
          <w:sz w:val="22"/>
          <w:szCs w:val="24"/>
          <w:lang w:val="id-ID"/>
        </w:rPr>
        <w:t>Teaching for Conceptual Understanding in Science</w:t>
      </w:r>
      <w:r w:rsidRPr="00AD23CC">
        <w:rPr>
          <w:rFonts w:ascii="Calibri" w:eastAsia="Calibri" w:hAnsi="Calibri" w:cs="Calibri"/>
          <w:noProof/>
          <w:sz w:val="22"/>
          <w:szCs w:val="24"/>
          <w:lang w:val="id-ID"/>
        </w:rPr>
        <w:t>. Arlington: National Science Teachers Association Press.</w:t>
      </w:r>
    </w:p>
    <w:p w14:paraId="0B7C8A1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Krebs, R. E. (1999). </w:t>
      </w:r>
      <w:r w:rsidRPr="00AD23CC">
        <w:rPr>
          <w:rFonts w:ascii="Calibri" w:eastAsia="Calibri" w:hAnsi="Calibri" w:cs="Calibri"/>
          <w:i/>
          <w:iCs/>
          <w:noProof/>
          <w:sz w:val="22"/>
          <w:szCs w:val="24"/>
          <w:lang w:val="id-ID"/>
        </w:rPr>
        <w:t>Scientific development and misconceptions through the ages: a reference guide</w:t>
      </w:r>
      <w:r w:rsidRPr="00AD23CC">
        <w:rPr>
          <w:rFonts w:ascii="Calibri" w:eastAsia="Calibri" w:hAnsi="Calibri" w:cs="Calibri"/>
          <w:noProof/>
          <w:sz w:val="22"/>
          <w:szCs w:val="24"/>
          <w:lang w:val="id-ID"/>
        </w:rPr>
        <w:t>. Westport, CT: Greenwood Press.</w:t>
      </w:r>
    </w:p>
    <w:p w14:paraId="43C97D4D"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Kumandaş, B., Ateskan, A., &amp; Lane, J. (2019). Misconceptions in biology: a meta-synthesis study of research, 2000–2014. </w:t>
      </w:r>
      <w:r w:rsidRPr="00AD23CC">
        <w:rPr>
          <w:rFonts w:ascii="Calibri" w:eastAsia="Calibri" w:hAnsi="Calibri" w:cs="Calibri"/>
          <w:i/>
          <w:iCs/>
          <w:noProof/>
          <w:sz w:val="22"/>
          <w:szCs w:val="24"/>
          <w:lang w:val="id-ID"/>
        </w:rPr>
        <w:t>Journal of Biological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53</w:t>
      </w:r>
      <w:r w:rsidRPr="00AD23CC">
        <w:rPr>
          <w:rFonts w:ascii="Calibri" w:eastAsia="Calibri" w:hAnsi="Calibri" w:cs="Calibri"/>
          <w:noProof/>
          <w:sz w:val="22"/>
          <w:szCs w:val="24"/>
          <w:lang w:val="id-ID"/>
        </w:rPr>
        <w:t>(4), 350–364. https://doi.org/10.1080/00219266.2018.1490798</w:t>
      </w:r>
    </w:p>
    <w:p w14:paraId="23D8C59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Labobar, H., Setyosari, P., Degeng, I. N. S., &amp; Dsna, W. (2017). The Effect of Cognitive Conflict Strategy to Chemical Conceptual Change. </w:t>
      </w:r>
      <w:r w:rsidRPr="00AD23CC">
        <w:rPr>
          <w:rFonts w:ascii="Calibri" w:eastAsia="Calibri" w:hAnsi="Calibri" w:cs="Calibri"/>
          <w:i/>
          <w:iCs/>
          <w:noProof/>
          <w:sz w:val="22"/>
          <w:szCs w:val="24"/>
          <w:lang w:val="id-ID"/>
        </w:rPr>
        <w:t>International Journal of Science and Research (IJSR)</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6</w:t>
      </w:r>
      <w:r w:rsidRPr="00AD23CC">
        <w:rPr>
          <w:rFonts w:ascii="Calibri" w:eastAsia="Calibri" w:hAnsi="Calibri" w:cs="Calibri"/>
          <w:noProof/>
          <w:sz w:val="22"/>
          <w:szCs w:val="24"/>
          <w:lang w:val="id-ID"/>
        </w:rPr>
        <w:t>(4), 2350–2352. https://doi.org/10.21275/ART20172970</w:t>
      </w:r>
    </w:p>
    <w:p w14:paraId="4E2225A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Langley, D., Ronen, M., &amp; Eylon, B. S. (1997). Light Propagation and Visual Patterns: Preinstruction Learners’ Conceptions.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34</w:t>
      </w:r>
      <w:r w:rsidRPr="00AD23CC">
        <w:rPr>
          <w:rFonts w:ascii="Calibri" w:eastAsia="Calibri" w:hAnsi="Calibri" w:cs="Calibri"/>
          <w:noProof/>
          <w:sz w:val="22"/>
          <w:szCs w:val="24"/>
          <w:lang w:val="id-ID"/>
        </w:rPr>
        <w:t>(4), 399–424. https://doi.org/10.1002/(SICI)1098-2736(199704)34:4&lt;399::AID-TEA8&gt;3.0.CO;2-M</w:t>
      </w:r>
    </w:p>
    <w:p w14:paraId="0F0B36B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Lee, M., Wu, Y., &amp; Tsai, C. (2009). Research trends in science education from 2003 to 2007: A content analysis of publications in selected journals.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31</w:t>
      </w:r>
      <w:r w:rsidRPr="00AD23CC">
        <w:rPr>
          <w:rFonts w:ascii="Calibri" w:eastAsia="Calibri" w:hAnsi="Calibri" w:cs="Calibri"/>
          <w:noProof/>
          <w:sz w:val="22"/>
          <w:szCs w:val="24"/>
          <w:lang w:val="id-ID"/>
        </w:rPr>
        <w:t>(15), 1999–2020. https://doi.org/10.1080/09500690802314876</w:t>
      </w:r>
    </w:p>
    <w:p w14:paraId="3C3DA83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Liew, C. W., &amp; Treagust, D. F. (1995). A predict-observe-explain teaching sequence for learning about students understand of heat and expansion of liquids. </w:t>
      </w:r>
      <w:r w:rsidRPr="00AD23CC">
        <w:rPr>
          <w:rFonts w:ascii="Calibri" w:eastAsia="Calibri" w:hAnsi="Calibri" w:cs="Calibri"/>
          <w:i/>
          <w:iCs/>
          <w:noProof/>
          <w:sz w:val="22"/>
          <w:szCs w:val="24"/>
          <w:lang w:val="id-ID"/>
        </w:rPr>
        <w:t>Australian Science Teachers Journal</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41</w:t>
      </w:r>
      <w:r w:rsidRPr="00AD23CC">
        <w:rPr>
          <w:rFonts w:ascii="Calibri" w:eastAsia="Calibri" w:hAnsi="Calibri" w:cs="Calibri"/>
          <w:noProof/>
          <w:sz w:val="22"/>
          <w:szCs w:val="24"/>
          <w:lang w:val="id-ID"/>
        </w:rPr>
        <w:t>(1), 68–81.</w:t>
      </w:r>
    </w:p>
    <w:p w14:paraId="246A711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Martín-blas, T., Seidel, L., &amp; Serrano-fernández, A. (2010). Enhancing Force Concept Inventory diagnostics to identify dominant misconceptions in first-year engineering physics. </w:t>
      </w:r>
      <w:r w:rsidRPr="00AD23CC">
        <w:rPr>
          <w:rFonts w:ascii="Calibri" w:eastAsia="Calibri" w:hAnsi="Calibri" w:cs="Calibri"/>
          <w:i/>
          <w:iCs/>
          <w:noProof/>
          <w:sz w:val="22"/>
          <w:szCs w:val="24"/>
          <w:lang w:val="id-ID"/>
        </w:rPr>
        <w:t>European Journal of Engineering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35</w:t>
      </w:r>
      <w:r w:rsidRPr="00AD23CC">
        <w:rPr>
          <w:rFonts w:ascii="Calibri" w:eastAsia="Calibri" w:hAnsi="Calibri" w:cs="Calibri"/>
          <w:noProof/>
          <w:sz w:val="22"/>
          <w:szCs w:val="24"/>
          <w:lang w:val="id-ID"/>
        </w:rPr>
        <w:t>(6), 597–606. https://doi.org/10.1080/03043797.2010.497552</w:t>
      </w:r>
    </w:p>
    <w:p w14:paraId="22813A8D"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Mayer, R. E. (2002). Understanding Conceptual Change: A Commentary. In M. Limón &amp; L. Mason (Eds.), </w:t>
      </w:r>
      <w:r w:rsidRPr="00AD23CC">
        <w:rPr>
          <w:rFonts w:ascii="Calibri" w:eastAsia="Calibri" w:hAnsi="Calibri" w:cs="Calibri"/>
          <w:i/>
          <w:iCs/>
          <w:noProof/>
          <w:sz w:val="22"/>
          <w:szCs w:val="24"/>
          <w:lang w:val="id-ID"/>
        </w:rPr>
        <w:t>Reconsidering Conceptual Change: Issues in Theory and Practice</w:t>
      </w:r>
      <w:r w:rsidRPr="00AD23CC">
        <w:rPr>
          <w:rFonts w:ascii="Calibri" w:eastAsia="Calibri" w:hAnsi="Calibri" w:cs="Calibri"/>
          <w:noProof/>
          <w:sz w:val="22"/>
          <w:szCs w:val="24"/>
          <w:lang w:val="id-ID"/>
        </w:rPr>
        <w:t xml:space="preserve"> (pp. 101–111). New York: </w:t>
      </w:r>
      <w:r w:rsidRPr="00AD23CC">
        <w:rPr>
          <w:rFonts w:ascii="Calibri" w:eastAsia="Calibri" w:hAnsi="Calibri" w:cs="Calibri"/>
          <w:noProof/>
          <w:sz w:val="22"/>
          <w:szCs w:val="24"/>
          <w:lang w:val="id-ID"/>
        </w:rPr>
        <w:lastRenderedPageBreak/>
        <w:t>Kluwer Academic Publishers.</w:t>
      </w:r>
    </w:p>
    <w:p w14:paraId="52AFF9B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McCloskey, M., Caramazza, A., &amp; Green, B. (1980). Curvilinear Motion in the Absence of External Forces: Naive Beliefs About the Motion of Objects. </w:t>
      </w:r>
      <w:r w:rsidRPr="00AD23CC">
        <w:rPr>
          <w:rFonts w:ascii="Calibri" w:eastAsia="Calibri" w:hAnsi="Calibri" w:cs="Calibri"/>
          <w:i/>
          <w:iCs/>
          <w:noProof/>
          <w:sz w:val="22"/>
          <w:szCs w:val="24"/>
          <w:lang w:val="id-ID"/>
        </w:rPr>
        <w:t>Science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210</w:t>
      </w:r>
      <w:r w:rsidRPr="00AD23CC">
        <w:rPr>
          <w:rFonts w:ascii="Calibri" w:eastAsia="Calibri" w:hAnsi="Calibri" w:cs="Calibri"/>
          <w:noProof/>
          <w:sz w:val="22"/>
          <w:szCs w:val="24"/>
          <w:lang w:val="id-ID"/>
        </w:rPr>
        <w:t>(4474), 1139–1141.</w:t>
      </w:r>
    </w:p>
    <w:p w14:paraId="440C51DA"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Mintzes, J. J., Wandersee, J. H., &amp; Novak, J. D. (Eds.). (2005). </w:t>
      </w:r>
      <w:r w:rsidRPr="00AD23CC">
        <w:rPr>
          <w:rFonts w:ascii="Calibri" w:eastAsia="Calibri" w:hAnsi="Calibri" w:cs="Calibri"/>
          <w:i/>
          <w:iCs/>
          <w:noProof/>
          <w:sz w:val="22"/>
          <w:szCs w:val="24"/>
          <w:lang w:val="id-ID"/>
        </w:rPr>
        <w:t>Assessing Science Understanding: A Human Constructivist View</w:t>
      </w:r>
      <w:r w:rsidRPr="00AD23CC">
        <w:rPr>
          <w:rFonts w:ascii="Calibri" w:eastAsia="Calibri" w:hAnsi="Calibri" w:cs="Calibri"/>
          <w:noProof/>
          <w:sz w:val="22"/>
          <w:szCs w:val="24"/>
          <w:lang w:val="id-ID"/>
        </w:rPr>
        <w:t>. San Diego, California: Elsevier Academic Press.</w:t>
      </w:r>
    </w:p>
    <w:p w14:paraId="27ACE6A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Moodley, K., &amp; Gaigher, E. (2019). Teaching Electric Circuits: Teachers’ Perceptions and Learners’ Misconceptions. </w:t>
      </w:r>
      <w:r w:rsidRPr="00AD23CC">
        <w:rPr>
          <w:rFonts w:ascii="Calibri" w:eastAsia="Calibri" w:hAnsi="Calibri" w:cs="Calibri"/>
          <w:i/>
          <w:iCs/>
          <w:noProof/>
          <w:sz w:val="22"/>
          <w:szCs w:val="24"/>
          <w:lang w:val="id-ID"/>
        </w:rPr>
        <w:t>Research in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49</w:t>
      </w:r>
      <w:r w:rsidRPr="00AD23CC">
        <w:rPr>
          <w:rFonts w:ascii="Calibri" w:eastAsia="Calibri" w:hAnsi="Calibri" w:cs="Calibri"/>
          <w:noProof/>
          <w:sz w:val="22"/>
          <w:szCs w:val="24"/>
          <w:lang w:val="id-ID"/>
        </w:rPr>
        <w:t>, 73–89. https://doi.org/10.1007/s11165-017-9615-5</w:t>
      </w:r>
    </w:p>
    <w:p w14:paraId="2F19289A"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National Research Council. (1997). </w:t>
      </w:r>
      <w:r w:rsidRPr="00AD23CC">
        <w:rPr>
          <w:rFonts w:ascii="Calibri" w:eastAsia="Calibri" w:hAnsi="Calibri" w:cs="Calibri"/>
          <w:i/>
          <w:iCs/>
          <w:noProof/>
          <w:sz w:val="22"/>
          <w:szCs w:val="24"/>
          <w:lang w:val="id-ID"/>
        </w:rPr>
        <w:t>Science Teaching Reconsidered: A Handbook</w:t>
      </w:r>
      <w:r w:rsidRPr="00AD23CC">
        <w:rPr>
          <w:rFonts w:ascii="Calibri" w:eastAsia="Calibri" w:hAnsi="Calibri" w:cs="Calibri"/>
          <w:noProof/>
          <w:sz w:val="22"/>
          <w:szCs w:val="24"/>
          <w:lang w:val="id-ID"/>
        </w:rPr>
        <w:t>. Washington, DC: The National Academies Press. https://doi.org/https://doi.org/10.17226/5287</w:t>
      </w:r>
    </w:p>
    <w:p w14:paraId="73375B8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National Research Council. (2011). </w:t>
      </w:r>
      <w:r w:rsidRPr="00AD23CC">
        <w:rPr>
          <w:rFonts w:ascii="Calibri" w:eastAsia="Calibri" w:hAnsi="Calibri" w:cs="Calibri"/>
          <w:i/>
          <w:iCs/>
          <w:noProof/>
          <w:sz w:val="22"/>
          <w:szCs w:val="24"/>
          <w:lang w:val="id-ID"/>
        </w:rPr>
        <w:t>Learning science through computer games and simulations</w:t>
      </w:r>
      <w:r w:rsidRPr="00AD23CC">
        <w:rPr>
          <w:rFonts w:ascii="Calibri" w:eastAsia="Calibri" w:hAnsi="Calibri" w:cs="Calibri"/>
          <w:noProof/>
          <w:sz w:val="22"/>
          <w:szCs w:val="24"/>
          <w:lang w:val="id-ID"/>
        </w:rPr>
        <w:t>. (M. A. Honey &amp; M. Hilton, Eds.). Washington, DC: The National Academies Press. https://doi.org/10.1111/j.1467-8535.2011.01247_6.x</w:t>
      </w:r>
    </w:p>
    <w:p w14:paraId="2DC05EF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Neidorf, T., Arora, A., Erberber, E., &amp; Tsokodayi, Y. (2020). </w:t>
      </w:r>
      <w:r w:rsidRPr="00AD23CC">
        <w:rPr>
          <w:rFonts w:ascii="Calibri" w:eastAsia="Calibri" w:hAnsi="Calibri" w:cs="Calibri"/>
          <w:i/>
          <w:iCs/>
          <w:noProof/>
          <w:sz w:val="22"/>
          <w:szCs w:val="24"/>
          <w:lang w:val="id-ID"/>
        </w:rPr>
        <w:t>Student Misconceptions and Errors in Physics and Mathematics: Exploring Data from TIMSS and TIMSS</w:t>
      </w:r>
      <w:r w:rsidRPr="00AD23CC">
        <w:rPr>
          <w:rFonts w:ascii="Calibri" w:eastAsia="Calibri" w:hAnsi="Calibri" w:cs="Calibri"/>
          <w:noProof/>
          <w:sz w:val="22"/>
          <w:szCs w:val="24"/>
          <w:lang w:val="id-ID"/>
        </w:rPr>
        <w:t>. Gewerbestrasse: Springer Nature Switzerland AG. https://doi.org/10.1007/978-3-030-30188-0</w:t>
      </w:r>
    </w:p>
    <w:p w14:paraId="4807A6F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Nitko, A. J., &amp; Brookhart, S. M. (2014). </w:t>
      </w:r>
      <w:r w:rsidRPr="00AD23CC">
        <w:rPr>
          <w:rFonts w:ascii="Calibri" w:eastAsia="Calibri" w:hAnsi="Calibri" w:cs="Calibri"/>
          <w:i/>
          <w:iCs/>
          <w:noProof/>
          <w:sz w:val="22"/>
          <w:szCs w:val="24"/>
          <w:lang w:val="id-ID"/>
        </w:rPr>
        <w:t>Educational Assessment of Students</w:t>
      </w:r>
      <w:r w:rsidRPr="00AD23CC">
        <w:rPr>
          <w:rFonts w:ascii="Calibri" w:eastAsia="Calibri" w:hAnsi="Calibri" w:cs="Calibri"/>
          <w:noProof/>
          <w:sz w:val="22"/>
          <w:szCs w:val="24"/>
          <w:lang w:val="id-ID"/>
        </w:rPr>
        <w:t>. London: Pearson Education Limited.</w:t>
      </w:r>
    </w:p>
    <w:p w14:paraId="689CE98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Osborne, R. J., &amp; Gilbert, J. K. (1980). A method for investigating concept understanding in science. </w:t>
      </w:r>
      <w:r w:rsidRPr="00AD23CC">
        <w:rPr>
          <w:rFonts w:ascii="Calibri" w:eastAsia="Calibri" w:hAnsi="Calibri" w:cs="Calibri"/>
          <w:i/>
          <w:iCs/>
          <w:noProof/>
          <w:sz w:val="22"/>
          <w:szCs w:val="24"/>
          <w:lang w:val="id-ID"/>
        </w:rPr>
        <w:t>European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w:t>
      </w:r>
      <w:r w:rsidRPr="00AD23CC">
        <w:rPr>
          <w:rFonts w:ascii="Calibri" w:eastAsia="Calibri" w:hAnsi="Calibri" w:cs="Calibri"/>
          <w:noProof/>
          <w:sz w:val="22"/>
          <w:szCs w:val="24"/>
          <w:lang w:val="id-ID"/>
        </w:rPr>
        <w:t>(3), 311–321. https://doi.org/10.1080/0140528800020311</w:t>
      </w:r>
    </w:p>
    <w:p w14:paraId="66B8E3A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Özkan, G. (2013). The use of conceptual change texts as class material in the teaching of “ sound ” in physics. </w:t>
      </w:r>
      <w:r w:rsidRPr="00AD23CC">
        <w:rPr>
          <w:rFonts w:ascii="Calibri" w:eastAsia="Calibri" w:hAnsi="Calibri" w:cs="Calibri"/>
          <w:i/>
          <w:iCs/>
          <w:noProof/>
          <w:sz w:val="22"/>
          <w:szCs w:val="24"/>
          <w:lang w:val="id-ID"/>
        </w:rPr>
        <w:t>Asia-Pacific Forum on Science Learning and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14</w:t>
      </w:r>
      <w:r w:rsidRPr="00AD23CC">
        <w:rPr>
          <w:rFonts w:ascii="Calibri" w:eastAsia="Calibri" w:hAnsi="Calibri" w:cs="Calibri"/>
          <w:noProof/>
          <w:sz w:val="22"/>
          <w:szCs w:val="24"/>
          <w:lang w:val="id-ID"/>
        </w:rPr>
        <w:t>(1), 1–23.</w:t>
      </w:r>
    </w:p>
    <w:p w14:paraId="5E0222D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Paik, S.-H., Cho, B.-K., &amp; Go, Y.-M. (2007). Korean 4- to 11-Year-Old Student Conceptions of Heat and Temperature.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44</w:t>
      </w:r>
      <w:r w:rsidRPr="00AD23CC">
        <w:rPr>
          <w:rFonts w:ascii="Calibri" w:eastAsia="Calibri" w:hAnsi="Calibri" w:cs="Calibri"/>
          <w:noProof/>
          <w:sz w:val="22"/>
          <w:szCs w:val="24"/>
          <w:lang w:val="id-ID"/>
        </w:rPr>
        <w:t>(2), 284–302. https://doi.org/10.1002/tea</w:t>
      </w:r>
    </w:p>
    <w:p w14:paraId="12FF22D1"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Palacios, F. J. P., Cazorla, F. N., &amp; Madrid, A. C. (1989). Misconceptions on geometric optics and their association with relevant educational variables.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11</w:t>
      </w:r>
      <w:r w:rsidRPr="00AD23CC">
        <w:rPr>
          <w:rFonts w:ascii="Calibri" w:eastAsia="Calibri" w:hAnsi="Calibri" w:cs="Calibri"/>
          <w:noProof/>
          <w:sz w:val="22"/>
          <w:szCs w:val="24"/>
          <w:lang w:val="id-ID"/>
        </w:rPr>
        <w:t>(3), 273–286. https://doi.org/10.1080/0950069890110304</w:t>
      </w:r>
    </w:p>
    <w:p w14:paraId="60E772C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Pesman, H., &amp; Eryilmaz, A. L. I. (2010). Development of a Three-Tier Test to Assess Misconceptions About Simple Electric Circuits. </w:t>
      </w:r>
      <w:r w:rsidRPr="00AD23CC">
        <w:rPr>
          <w:rFonts w:ascii="Calibri" w:eastAsia="Calibri" w:hAnsi="Calibri" w:cs="Calibri"/>
          <w:i/>
          <w:iCs/>
          <w:noProof/>
          <w:sz w:val="22"/>
          <w:szCs w:val="24"/>
          <w:lang w:val="id-ID"/>
        </w:rPr>
        <w:t>The Journal of Educational Research</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103</w:t>
      </w:r>
      <w:r w:rsidRPr="00AD23CC">
        <w:rPr>
          <w:rFonts w:ascii="Calibri" w:eastAsia="Calibri" w:hAnsi="Calibri" w:cs="Calibri"/>
          <w:noProof/>
          <w:sz w:val="22"/>
          <w:szCs w:val="24"/>
          <w:lang w:val="id-ID"/>
        </w:rPr>
        <w:t>, 208–222. https://doi.org/10.1080/00220670903383002</w:t>
      </w:r>
    </w:p>
    <w:p w14:paraId="2A2C4299"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Petty, R. E., &amp; Cacioppo, J. T. (1986). The Elaboration Likelihood Model of Persuasion. </w:t>
      </w:r>
      <w:r w:rsidRPr="00AD23CC">
        <w:rPr>
          <w:rFonts w:ascii="Calibri" w:eastAsia="Calibri" w:hAnsi="Calibri" w:cs="Calibri"/>
          <w:i/>
          <w:iCs/>
          <w:noProof/>
          <w:sz w:val="22"/>
          <w:szCs w:val="24"/>
          <w:lang w:val="id-ID"/>
        </w:rPr>
        <w:t>Advances in Experimental Social Psychology</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19</w:t>
      </w:r>
      <w:r w:rsidRPr="00AD23CC">
        <w:rPr>
          <w:rFonts w:ascii="Calibri" w:eastAsia="Calibri" w:hAnsi="Calibri" w:cs="Calibri"/>
          <w:noProof/>
          <w:sz w:val="22"/>
          <w:szCs w:val="24"/>
          <w:lang w:val="id-ID"/>
        </w:rPr>
        <w:t>, 123–205.</w:t>
      </w:r>
    </w:p>
    <w:p w14:paraId="7F03A16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Posner, G. J., &amp; Gertzog, W. A. (1982). The clinical interview and the measurement of conceptual change. </w:t>
      </w:r>
      <w:r w:rsidRPr="00AD23CC">
        <w:rPr>
          <w:rFonts w:ascii="Calibri" w:eastAsia="Calibri" w:hAnsi="Calibri" w:cs="Calibri"/>
          <w:i/>
          <w:iCs/>
          <w:noProof/>
          <w:sz w:val="22"/>
          <w:szCs w:val="24"/>
          <w:lang w:val="id-ID"/>
        </w:rPr>
        <w:t>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66</w:t>
      </w:r>
      <w:r w:rsidRPr="00AD23CC">
        <w:rPr>
          <w:rFonts w:ascii="Calibri" w:eastAsia="Calibri" w:hAnsi="Calibri" w:cs="Calibri"/>
          <w:noProof/>
          <w:sz w:val="22"/>
          <w:szCs w:val="24"/>
          <w:lang w:val="id-ID"/>
        </w:rPr>
        <w:t>(2), 195–209. https://doi.org/10.1002/sce.3730660206</w:t>
      </w:r>
    </w:p>
    <w:p w14:paraId="4954B521"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Posner, G. J., Strike, K. A., Hewson, P. W., &amp; Gertzog, W. A. (1982). Accommodation of a Scientific Conception: Toward a Theory of Conceptual Change. </w:t>
      </w:r>
      <w:r w:rsidRPr="00AD23CC">
        <w:rPr>
          <w:rFonts w:ascii="Calibri" w:eastAsia="Calibri" w:hAnsi="Calibri" w:cs="Calibri"/>
          <w:i/>
          <w:iCs/>
          <w:noProof/>
          <w:sz w:val="22"/>
          <w:szCs w:val="24"/>
          <w:lang w:val="id-ID"/>
        </w:rPr>
        <w:t>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66</w:t>
      </w:r>
      <w:r w:rsidRPr="00AD23CC">
        <w:rPr>
          <w:rFonts w:ascii="Calibri" w:eastAsia="Calibri" w:hAnsi="Calibri" w:cs="Calibri"/>
          <w:noProof/>
          <w:sz w:val="22"/>
          <w:szCs w:val="24"/>
          <w:lang w:val="id-ID"/>
        </w:rPr>
        <w:t>(2), 211–227.</w:t>
      </w:r>
    </w:p>
    <w:p w14:paraId="51B5876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Potvin, P., &amp; Cyr, G. (2017). Toward a durable prevalence of scientific conceptions: Tracking the effects of two interfering misconceptions about buoyancy from preschoolers to science teachers.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54</w:t>
      </w:r>
      <w:r w:rsidRPr="00AD23CC">
        <w:rPr>
          <w:rFonts w:ascii="Calibri" w:eastAsia="Calibri" w:hAnsi="Calibri" w:cs="Calibri"/>
          <w:noProof/>
          <w:sz w:val="22"/>
          <w:szCs w:val="24"/>
          <w:lang w:val="id-ID"/>
        </w:rPr>
        <w:t>(9), 1121–1142. https://doi.org/10.1002/tea.21396</w:t>
      </w:r>
    </w:p>
    <w:p w14:paraId="3C197C0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Prasad, B. D. (2008). Content Analysis: A Method in Social Science Research. In D. K. L. Das &amp; V. Bhaskaran (Eds.), </w:t>
      </w:r>
      <w:r w:rsidRPr="00AD23CC">
        <w:rPr>
          <w:rFonts w:ascii="Calibri" w:eastAsia="Calibri" w:hAnsi="Calibri" w:cs="Calibri"/>
          <w:i/>
          <w:iCs/>
          <w:noProof/>
          <w:sz w:val="22"/>
          <w:szCs w:val="24"/>
          <w:lang w:val="id-ID"/>
        </w:rPr>
        <w:t>Research Methods for Social Work</w:t>
      </w:r>
      <w:r w:rsidRPr="00AD23CC">
        <w:rPr>
          <w:rFonts w:ascii="Calibri" w:eastAsia="Calibri" w:hAnsi="Calibri" w:cs="Calibri"/>
          <w:noProof/>
          <w:sz w:val="22"/>
          <w:szCs w:val="24"/>
          <w:lang w:val="id-ID"/>
        </w:rPr>
        <w:t xml:space="preserve"> (pp. 173–193). New Delhi: Rawat Publications.</w:t>
      </w:r>
    </w:p>
    <w:p w14:paraId="38B6DB3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lastRenderedPageBreak/>
        <w:t xml:space="preserve">Prince, M., Vigeant, M., &amp; Nottis, K. (2012). Development of the Heat and Energy Concept Inventory: Preliminary Results on the Prevalence and Persistence of Engineering Students’ Misconceptions. </w:t>
      </w:r>
      <w:r w:rsidRPr="00AD23CC">
        <w:rPr>
          <w:rFonts w:ascii="Calibri" w:eastAsia="Calibri" w:hAnsi="Calibri" w:cs="Calibri"/>
          <w:i/>
          <w:iCs/>
          <w:noProof/>
          <w:sz w:val="22"/>
          <w:szCs w:val="24"/>
          <w:lang w:val="id-ID"/>
        </w:rPr>
        <w:t>Journal of Engineering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101</w:t>
      </w:r>
      <w:r w:rsidRPr="00AD23CC">
        <w:rPr>
          <w:rFonts w:ascii="Calibri" w:eastAsia="Calibri" w:hAnsi="Calibri" w:cs="Calibri"/>
          <w:noProof/>
          <w:sz w:val="22"/>
          <w:szCs w:val="24"/>
          <w:lang w:val="id-ID"/>
        </w:rPr>
        <w:t>(3), 412–438.</w:t>
      </w:r>
    </w:p>
    <w:p w14:paraId="5A040D2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Qian, Y., Hambrusch, S., Yadav, A., Gretter, S., &amp; Li, Y. (2019). Teachers’ Perceptions of Student Misconceptions in Introductory Programming. </w:t>
      </w:r>
      <w:r w:rsidRPr="00AD23CC">
        <w:rPr>
          <w:rFonts w:ascii="Calibri" w:eastAsia="Calibri" w:hAnsi="Calibri" w:cs="Calibri"/>
          <w:i/>
          <w:iCs/>
          <w:noProof/>
          <w:sz w:val="22"/>
          <w:szCs w:val="24"/>
          <w:lang w:val="id-ID"/>
        </w:rPr>
        <w:t>Journal of Educational Computing Research</w:t>
      </w:r>
      <w:r w:rsidRPr="00AD23CC">
        <w:rPr>
          <w:rFonts w:ascii="Calibri" w:eastAsia="Calibri" w:hAnsi="Calibri" w:cs="Calibri"/>
          <w:noProof/>
          <w:sz w:val="22"/>
          <w:szCs w:val="24"/>
          <w:lang w:val="id-ID"/>
        </w:rPr>
        <w:t>, (1800). https://doi.org/10.1177/0735633119845413</w:t>
      </w:r>
    </w:p>
    <w:p w14:paraId="6879013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Ramsburg, J. T., &amp; Ohlsson, S. (2016). Category change in the absence of cognitive conflict. </w:t>
      </w:r>
      <w:r w:rsidRPr="00AD23CC">
        <w:rPr>
          <w:rFonts w:ascii="Calibri" w:eastAsia="Calibri" w:hAnsi="Calibri" w:cs="Calibri"/>
          <w:i/>
          <w:iCs/>
          <w:noProof/>
          <w:sz w:val="22"/>
          <w:szCs w:val="24"/>
          <w:lang w:val="id-ID"/>
        </w:rPr>
        <w:t>Journal of Educational Psychology</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108</w:t>
      </w:r>
      <w:r w:rsidRPr="00AD23CC">
        <w:rPr>
          <w:rFonts w:ascii="Calibri" w:eastAsia="Calibri" w:hAnsi="Calibri" w:cs="Calibri"/>
          <w:noProof/>
          <w:sz w:val="22"/>
          <w:szCs w:val="24"/>
          <w:lang w:val="id-ID"/>
        </w:rPr>
        <w:t>(1), 98–113. https://doi.org/10.1037/edu0000050</w:t>
      </w:r>
    </w:p>
    <w:p w14:paraId="0530340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Resbiantoro, G. (2016). Self-Efficacies of Prospective Mathematic Teachers ’ Technological Pedagogical Content Knowledge. </w:t>
      </w:r>
      <w:r w:rsidRPr="00AD23CC">
        <w:rPr>
          <w:rFonts w:ascii="Calibri" w:eastAsia="Calibri" w:hAnsi="Calibri" w:cs="Calibri"/>
          <w:i/>
          <w:iCs/>
          <w:noProof/>
          <w:sz w:val="22"/>
          <w:szCs w:val="24"/>
          <w:lang w:val="id-ID"/>
        </w:rPr>
        <w:t>VARIDIKA (Varia Pendidikan)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28</w:t>
      </w:r>
      <w:r w:rsidRPr="00AD23CC">
        <w:rPr>
          <w:rFonts w:ascii="Calibri" w:eastAsia="Calibri" w:hAnsi="Calibri" w:cs="Calibri"/>
          <w:noProof/>
          <w:sz w:val="22"/>
          <w:szCs w:val="24"/>
          <w:lang w:val="id-ID"/>
        </w:rPr>
        <w:t>(2), 102–115. Retrieved from http://journals.ums.ac.id/index.php/varidika/article/download/2735/1963</w:t>
      </w:r>
    </w:p>
    <w:p w14:paraId="2547FDD4"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Resbiantoro, G., &amp; Nugraha, A. W. (2017). Miskonsepsi Mahasiswa pada Konsep Dasar Gaya dan Gerak untuk Sekolah Dasar. </w:t>
      </w:r>
      <w:r w:rsidRPr="00AD23CC">
        <w:rPr>
          <w:rFonts w:ascii="Calibri" w:eastAsia="Calibri" w:hAnsi="Calibri" w:cs="Calibri"/>
          <w:i/>
          <w:iCs/>
          <w:noProof/>
          <w:sz w:val="22"/>
          <w:szCs w:val="24"/>
          <w:lang w:val="id-ID"/>
        </w:rPr>
        <w:t>Jurnal Pendidikan Sains (JPS)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5</w:t>
      </w:r>
      <w:r w:rsidRPr="00AD23CC">
        <w:rPr>
          <w:rFonts w:ascii="Calibri" w:eastAsia="Calibri" w:hAnsi="Calibri" w:cs="Calibri"/>
          <w:noProof/>
          <w:sz w:val="22"/>
          <w:szCs w:val="24"/>
          <w:lang w:val="id-ID"/>
        </w:rPr>
        <w:t>(2), 80–87. https://doi.org/10.26714/jps.5.2.2017.80-87</w:t>
      </w:r>
    </w:p>
    <w:p w14:paraId="55E1845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Ross, B., &amp; Munby, H. (1991). Concept mapping and misconceptions: A study of high‐school students’ understandings of acids and bases. </w:t>
      </w:r>
      <w:r w:rsidRPr="00AD23CC">
        <w:rPr>
          <w:rFonts w:ascii="Calibri" w:eastAsia="Calibri" w:hAnsi="Calibri" w:cs="Calibri"/>
          <w:i/>
          <w:iCs/>
          <w:noProof/>
          <w:sz w:val="22"/>
          <w:szCs w:val="24"/>
          <w:lang w:val="id-ID"/>
        </w:rPr>
        <w:t>International Journal of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13</w:t>
      </w:r>
      <w:r w:rsidRPr="00AD23CC">
        <w:rPr>
          <w:rFonts w:ascii="Calibri" w:eastAsia="Calibri" w:hAnsi="Calibri" w:cs="Calibri"/>
          <w:noProof/>
          <w:sz w:val="22"/>
          <w:szCs w:val="24"/>
          <w:lang w:val="id-ID"/>
        </w:rPr>
        <w:t>(1), 11–23. https://doi.org/10.1080/0950069910130102</w:t>
      </w:r>
    </w:p>
    <w:p w14:paraId="479E944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Roth, K. J. (1985). Conceptual Change Learning and Student Processing of Science Texts. In </w:t>
      </w:r>
      <w:r w:rsidRPr="00AD23CC">
        <w:rPr>
          <w:rFonts w:ascii="Calibri" w:eastAsia="Calibri" w:hAnsi="Calibri" w:cs="Calibri"/>
          <w:i/>
          <w:iCs/>
          <w:noProof/>
          <w:sz w:val="22"/>
          <w:szCs w:val="24"/>
          <w:lang w:val="id-ID"/>
        </w:rPr>
        <w:t>American Educational Research Association</w:t>
      </w:r>
      <w:r w:rsidRPr="00AD23CC">
        <w:rPr>
          <w:rFonts w:ascii="Calibri" w:eastAsia="Calibri" w:hAnsi="Calibri" w:cs="Calibri"/>
          <w:noProof/>
          <w:sz w:val="22"/>
          <w:szCs w:val="24"/>
          <w:lang w:val="id-ID"/>
        </w:rPr>
        <w:t>. Washington, D.C.: Association of American Publishers. Retrieved from https://files.eric.ed.gov/fulltext/ED267980.pdf</w:t>
      </w:r>
    </w:p>
    <w:p w14:paraId="29AC75F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Saunders-Stewart, K. S., Gyles, P. D. T., Shore, B. M., &amp; Bracewell, R. J. (2015). Student outcomes in inquiry: students’ perspectives. </w:t>
      </w:r>
      <w:r w:rsidRPr="00AD23CC">
        <w:rPr>
          <w:rFonts w:ascii="Calibri" w:eastAsia="Calibri" w:hAnsi="Calibri" w:cs="Calibri"/>
          <w:i/>
          <w:iCs/>
          <w:noProof/>
          <w:sz w:val="22"/>
          <w:szCs w:val="24"/>
          <w:lang w:val="id-ID"/>
        </w:rPr>
        <w:t>Learning Environments Research</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18</w:t>
      </w:r>
      <w:r w:rsidRPr="00AD23CC">
        <w:rPr>
          <w:rFonts w:ascii="Calibri" w:eastAsia="Calibri" w:hAnsi="Calibri" w:cs="Calibri"/>
          <w:noProof/>
          <w:sz w:val="22"/>
          <w:szCs w:val="24"/>
          <w:lang w:val="id-ID"/>
        </w:rPr>
        <w:t>(2), 289–311. https://doi.org/10.1007/s10984-015-9185-2</w:t>
      </w:r>
    </w:p>
    <w:p w14:paraId="58364159"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Seatter, C. S. (2003). Constructivist Science Teaching: Intellectual and Strategic Teaching Acts. </w:t>
      </w:r>
      <w:r w:rsidRPr="00AD23CC">
        <w:rPr>
          <w:rFonts w:ascii="Calibri" w:eastAsia="Calibri" w:hAnsi="Calibri" w:cs="Calibri"/>
          <w:i/>
          <w:iCs/>
          <w:noProof/>
          <w:sz w:val="22"/>
          <w:szCs w:val="24"/>
          <w:lang w:val="id-ID"/>
        </w:rPr>
        <w:t>Interchange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34</w:t>
      </w:r>
      <w:r w:rsidRPr="00AD23CC">
        <w:rPr>
          <w:rFonts w:ascii="Calibri" w:eastAsia="Calibri" w:hAnsi="Calibri" w:cs="Calibri"/>
          <w:noProof/>
          <w:sz w:val="22"/>
          <w:szCs w:val="24"/>
          <w:lang w:val="id-ID"/>
        </w:rPr>
        <w:t>(1), 63–87.</w:t>
      </w:r>
    </w:p>
    <w:p w14:paraId="3475CB2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Seel, N. M., Lehmann, T., Blumschein, P., &amp; Podolskiy, O. A. (2017). </w:t>
      </w:r>
      <w:r w:rsidRPr="00AD23CC">
        <w:rPr>
          <w:rFonts w:ascii="Calibri" w:eastAsia="Calibri" w:hAnsi="Calibri" w:cs="Calibri"/>
          <w:i/>
          <w:iCs/>
          <w:noProof/>
          <w:sz w:val="22"/>
          <w:szCs w:val="24"/>
          <w:lang w:val="id-ID"/>
        </w:rPr>
        <w:t>Instructional Design for Learning</w:t>
      </w:r>
      <w:r w:rsidRPr="00AD23CC">
        <w:rPr>
          <w:rFonts w:ascii="Calibri" w:eastAsia="Calibri" w:hAnsi="Calibri" w:cs="Calibri"/>
          <w:noProof/>
          <w:sz w:val="22"/>
          <w:szCs w:val="24"/>
          <w:lang w:val="id-ID"/>
        </w:rPr>
        <w:t>. Rotterdam: Sense Publishers.</w:t>
      </w:r>
    </w:p>
    <w:p w14:paraId="25FF462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Singh, C. (2007). Effect of misconception on transfer in problem solving. </w:t>
      </w:r>
      <w:r w:rsidRPr="00AD23CC">
        <w:rPr>
          <w:rFonts w:ascii="Calibri" w:eastAsia="Calibri" w:hAnsi="Calibri" w:cs="Calibri"/>
          <w:i/>
          <w:iCs/>
          <w:noProof/>
          <w:sz w:val="22"/>
          <w:szCs w:val="24"/>
          <w:lang w:val="id-ID"/>
        </w:rPr>
        <w:t>AIP Conference Proceedings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951</w:t>
      </w:r>
      <w:r w:rsidRPr="00AD23CC">
        <w:rPr>
          <w:rFonts w:ascii="Calibri" w:eastAsia="Calibri" w:hAnsi="Calibri" w:cs="Calibri"/>
          <w:noProof/>
          <w:sz w:val="22"/>
          <w:szCs w:val="24"/>
          <w:lang w:val="id-ID"/>
        </w:rPr>
        <w:t>, 196–199. https://doi.org/10.1063/1.2820931</w:t>
      </w:r>
    </w:p>
    <w:p w14:paraId="4D32F55F"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Skamp, K. (2012). </w:t>
      </w:r>
      <w:r w:rsidRPr="00AD23CC">
        <w:rPr>
          <w:rFonts w:ascii="Calibri" w:eastAsia="Calibri" w:hAnsi="Calibri" w:cs="Calibri"/>
          <w:i/>
          <w:iCs/>
          <w:noProof/>
          <w:sz w:val="22"/>
          <w:szCs w:val="24"/>
          <w:lang w:val="id-ID"/>
        </w:rPr>
        <w:t>Teaching Primary Science</w:t>
      </w:r>
      <w:r w:rsidRPr="00AD23CC">
        <w:rPr>
          <w:rFonts w:ascii="Calibri" w:eastAsia="Calibri" w:hAnsi="Calibri" w:cs="Calibri"/>
          <w:noProof/>
          <w:sz w:val="22"/>
          <w:szCs w:val="24"/>
          <w:lang w:val="id-ID"/>
        </w:rPr>
        <w:t>. Australian Academy of Science.</w:t>
      </w:r>
    </w:p>
    <w:p w14:paraId="36FC27F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Slavin, R. E. (2018). </w:t>
      </w:r>
      <w:r w:rsidRPr="00AD23CC">
        <w:rPr>
          <w:rFonts w:ascii="Calibri" w:eastAsia="Calibri" w:hAnsi="Calibri" w:cs="Calibri"/>
          <w:i/>
          <w:iCs/>
          <w:noProof/>
          <w:sz w:val="22"/>
          <w:szCs w:val="24"/>
          <w:lang w:val="id-ID"/>
        </w:rPr>
        <w:t>Educational Psychology: theory and practice</w:t>
      </w:r>
      <w:r w:rsidRPr="00AD23CC">
        <w:rPr>
          <w:rFonts w:ascii="Calibri" w:eastAsia="Calibri" w:hAnsi="Calibri" w:cs="Calibri"/>
          <w:noProof/>
          <w:sz w:val="22"/>
          <w:szCs w:val="24"/>
          <w:lang w:val="id-ID"/>
        </w:rPr>
        <w:t xml:space="preserve"> (Twelfth ed). New York: Pearson.</w:t>
      </w:r>
    </w:p>
    <w:p w14:paraId="0296CCA9"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Soeharto, Csapó, B., Sarimanah, E., Dewi, F. I., &amp; Sabri, T. (2019). A review of students’ common misconceptions in science and their diagnostic assessment tools. </w:t>
      </w:r>
      <w:r w:rsidRPr="00AD23CC">
        <w:rPr>
          <w:rFonts w:ascii="Calibri" w:eastAsia="Calibri" w:hAnsi="Calibri" w:cs="Calibri"/>
          <w:i/>
          <w:iCs/>
          <w:noProof/>
          <w:sz w:val="22"/>
          <w:szCs w:val="24"/>
          <w:lang w:val="id-ID"/>
        </w:rPr>
        <w:t>Jurnal Pendidikan IPA Indonesia</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8</w:t>
      </w:r>
      <w:r w:rsidRPr="00AD23CC">
        <w:rPr>
          <w:rFonts w:ascii="Calibri" w:eastAsia="Calibri" w:hAnsi="Calibri" w:cs="Calibri"/>
          <w:noProof/>
          <w:sz w:val="22"/>
          <w:szCs w:val="24"/>
          <w:lang w:val="id-ID"/>
        </w:rPr>
        <w:t>(2), 247–266. https://doi.org/10.15294/jpii.v8i2.18649</w:t>
      </w:r>
    </w:p>
    <w:p w14:paraId="6E36284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Stump, D. J. (2015). </w:t>
      </w:r>
      <w:r w:rsidRPr="00AD23CC">
        <w:rPr>
          <w:rFonts w:ascii="Calibri" w:eastAsia="Calibri" w:hAnsi="Calibri" w:cs="Calibri"/>
          <w:i/>
          <w:iCs/>
          <w:noProof/>
          <w:sz w:val="22"/>
          <w:szCs w:val="24"/>
          <w:lang w:val="id-ID"/>
        </w:rPr>
        <w:t>Conceptual Change and the Philosophy of Science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Conceptual Change and the Philosophy of Science</w:t>
      </w:r>
      <w:r w:rsidRPr="00AD23CC">
        <w:rPr>
          <w:rFonts w:ascii="Calibri" w:eastAsia="Calibri" w:hAnsi="Calibri" w:cs="Calibri"/>
          <w:noProof/>
          <w:sz w:val="22"/>
          <w:szCs w:val="24"/>
          <w:lang w:val="id-ID"/>
        </w:rPr>
        <w:t>. New York: Routledge. https://doi.org/10.4324/9781315712581</w:t>
      </w:r>
    </w:p>
    <w:p w14:paraId="2EB38D6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Taasoobshirazi, G., Sinatra, G. M., &amp; Angeles, L. (2011). A Structural Equation Model of Conceptual Change in Physics.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48</w:t>
      </w:r>
      <w:r w:rsidRPr="00AD23CC">
        <w:rPr>
          <w:rFonts w:ascii="Calibri" w:eastAsia="Calibri" w:hAnsi="Calibri" w:cs="Calibri"/>
          <w:noProof/>
          <w:sz w:val="22"/>
          <w:szCs w:val="24"/>
          <w:lang w:val="id-ID"/>
        </w:rPr>
        <w:t>(8), 901–918. https://doi.org/10.1002/tea.20434</w:t>
      </w:r>
    </w:p>
    <w:p w14:paraId="3943702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Thagard, P. (2012). </w:t>
      </w:r>
      <w:r w:rsidRPr="00AD23CC">
        <w:rPr>
          <w:rFonts w:ascii="Calibri" w:eastAsia="Calibri" w:hAnsi="Calibri" w:cs="Calibri"/>
          <w:i/>
          <w:iCs/>
          <w:noProof/>
          <w:sz w:val="22"/>
          <w:szCs w:val="24"/>
          <w:lang w:val="id-ID"/>
        </w:rPr>
        <w:t>The Cognitive Science of Science: Explanation, Discovery, and Conceptual Change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The Cognitive Science of Science</w:t>
      </w:r>
      <w:r w:rsidRPr="00AD23CC">
        <w:rPr>
          <w:rFonts w:ascii="Calibri" w:eastAsia="Calibri" w:hAnsi="Calibri" w:cs="Calibri"/>
          <w:noProof/>
          <w:sz w:val="22"/>
          <w:szCs w:val="24"/>
          <w:lang w:val="id-ID"/>
        </w:rPr>
        <w:t>. Massachusetts: The MIT Press. https://doi.org/10.7551/mitpress/9218.001.0001</w:t>
      </w:r>
    </w:p>
    <w:p w14:paraId="6B3308B8"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lastRenderedPageBreak/>
        <w:t xml:space="preserve">Thong, W. M., &amp; Gunstone, R. (2008). Some student conceptions of electromagnetic induction. </w:t>
      </w:r>
      <w:r w:rsidRPr="00AD23CC">
        <w:rPr>
          <w:rFonts w:ascii="Calibri" w:eastAsia="Calibri" w:hAnsi="Calibri" w:cs="Calibri"/>
          <w:i/>
          <w:iCs/>
          <w:noProof/>
          <w:sz w:val="22"/>
          <w:szCs w:val="24"/>
          <w:lang w:val="id-ID"/>
        </w:rPr>
        <w:t>Research in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38</w:t>
      </w:r>
      <w:r w:rsidRPr="00AD23CC">
        <w:rPr>
          <w:rFonts w:ascii="Calibri" w:eastAsia="Calibri" w:hAnsi="Calibri" w:cs="Calibri"/>
          <w:noProof/>
          <w:sz w:val="22"/>
          <w:szCs w:val="24"/>
          <w:lang w:val="id-ID"/>
        </w:rPr>
        <w:t>(1), 31–44. https://doi.org/10.1007/s11165-007-9038-9</w:t>
      </w:r>
    </w:p>
    <w:p w14:paraId="1FE278A7"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Toh, K., Ho, B., &amp; Chew, C. M. K. (2003). Teaching, Teacher Knowledge and Constructivism. </w:t>
      </w:r>
      <w:r w:rsidRPr="00AD23CC">
        <w:rPr>
          <w:rFonts w:ascii="Calibri" w:eastAsia="Calibri" w:hAnsi="Calibri" w:cs="Calibri"/>
          <w:i/>
          <w:iCs/>
          <w:noProof/>
          <w:sz w:val="22"/>
          <w:szCs w:val="24"/>
          <w:lang w:val="id-ID"/>
        </w:rPr>
        <w:t>Educational Research for Policy and Practice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w:t>
      </w:r>
      <w:r w:rsidRPr="00AD23CC">
        <w:rPr>
          <w:rFonts w:ascii="Calibri" w:eastAsia="Calibri" w:hAnsi="Calibri" w:cs="Calibri"/>
          <w:noProof/>
          <w:sz w:val="22"/>
          <w:szCs w:val="24"/>
          <w:lang w:val="id-ID"/>
        </w:rPr>
        <w:t>, 195–204.</w:t>
      </w:r>
    </w:p>
    <w:p w14:paraId="4E3B513E"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Topalsan, A. K., &amp; Bayram, H. (2019). Identifying Prospective Primary School Teachers’ Ontologically Categorized Misconceptions on the Topic of “Force and Motion.” </w:t>
      </w:r>
      <w:r w:rsidRPr="00AD23CC">
        <w:rPr>
          <w:rFonts w:ascii="Calibri" w:eastAsia="Calibri" w:hAnsi="Calibri" w:cs="Calibri"/>
          <w:i/>
          <w:iCs/>
          <w:noProof/>
          <w:sz w:val="22"/>
          <w:szCs w:val="24"/>
          <w:lang w:val="id-ID"/>
        </w:rPr>
        <w:t>Journal of Turkish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16</w:t>
      </w:r>
      <w:r w:rsidRPr="00AD23CC">
        <w:rPr>
          <w:rFonts w:ascii="Calibri" w:eastAsia="Calibri" w:hAnsi="Calibri" w:cs="Calibri"/>
          <w:noProof/>
          <w:sz w:val="22"/>
          <w:szCs w:val="24"/>
          <w:lang w:val="id-ID"/>
        </w:rPr>
        <w:t>(1), 85–108. https://doi.org/10.12973/tused.10268a</w:t>
      </w:r>
    </w:p>
    <w:p w14:paraId="54A8A8AA"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Treagust, D. (1986). Evaluating students’ misconceptions by means of diagnostic multiple choice items. </w:t>
      </w:r>
      <w:r w:rsidRPr="00AD23CC">
        <w:rPr>
          <w:rFonts w:ascii="Calibri" w:eastAsia="Calibri" w:hAnsi="Calibri" w:cs="Calibri"/>
          <w:i/>
          <w:iCs/>
          <w:noProof/>
          <w:sz w:val="22"/>
          <w:szCs w:val="24"/>
          <w:lang w:val="id-ID"/>
        </w:rPr>
        <w:t>Research in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16</w:t>
      </w:r>
      <w:r w:rsidRPr="00AD23CC">
        <w:rPr>
          <w:rFonts w:ascii="Calibri" w:eastAsia="Calibri" w:hAnsi="Calibri" w:cs="Calibri"/>
          <w:noProof/>
          <w:sz w:val="22"/>
          <w:szCs w:val="24"/>
          <w:lang w:val="id-ID"/>
        </w:rPr>
        <w:t>, 199–207.</w:t>
      </w:r>
    </w:p>
    <w:p w14:paraId="655B663C"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Treagust, D. F., Won, M., &amp; McLure, F. (2017). Multiple Representations and Students’ Conceptual Change in Science. In T. G. Amin &amp; O. Levrini (Eds.), </w:t>
      </w:r>
      <w:r w:rsidRPr="00AD23CC">
        <w:rPr>
          <w:rFonts w:ascii="Calibri" w:eastAsia="Calibri" w:hAnsi="Calibri" w:cs="Calibri"/>
          <w:i/>
          <w:iCs/>
          <w:noProof/>
          <w:sz w:val="22"/>
          <w:szCs w:val="24"/>
          <w:lang w:val="id-ID"/>
        </w:rPr>
        <w:t>Converging Perspectives on Conceptual Change</w:t>
      </w:r>
      <w:r w:rsidRPr="00AD23CC">
        <w:rPr>
          <w:rFonts w:ascii="Calibri" w:eastAsia="Calibri" w:hAnsi="Calibri" w:cs="Calibri"/>
          <w:noProof/>
          <w:sz w:val="22"/>
          <w:szCs w:val="24"/>
          <w:lang w:val="id-ID"/>
        </w:rPr>
        <w:t>. New York: Routledge. https://doi.org/10.4324/9781315467139</w:t>
      </w:r>
    </w:p>
    <w:p w14:paraId="7E6DFBE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Trundle, K. C., Atwood, R. K., &amp; Christopher, J. E. (2007). A Longitudinal Study of Conceptual Change: Preservice Elementary Teachers’ Conceptions of Moon Phases.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44</w:t>
      </w:r>
      <w:r w:rsidRPr="00AD23CC">
        <w:rPr>
          <w:rFonts w:ascii="Calibri" w:eastAsia="Calibri" w:hAnsi="Calibri" w:cs="Calibri"/>
          <w:noProof/>
          <w:sz w:val="22"/>
          <w:szCs w:val="24"/>
          <w:lang w:val="id-ID"/>
        </w:rPr>
        <w:t>(2), 303–326. https://doi.org/10.1002/tea</w:t>
      </w:r>
    </w:p>
    <w:p w14:paraId="5C65297A"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Turgut, Ü., Gürbüz, F., &amp; Turgut, G. (2011). An investigation 10 th grade students ’ misconceptions about electric current. </w:t>
      </w:r>
      <w:r w:rsidRPr="00AD23CC">
        <w:rPr>
          <w:rFonts w:ascii="Calibri" w:eastAsia="Calibri" w:hAnsi="Calibri" w:cs="Calibri"/>
          <w:i/>
          <w:iCs/>
          <w:noProof/>
          <w:sz w:val="22"/>
          <w:szCs w:val="24"/>
          <w:lang w:val="id-ID"/>
        </w:rPr>
        <w:t>Procedia Social and Behavioral Sciences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15</w:t>
      </w:r>
      <w:r w:rsidRPr="00AD23CC">
        <w:rPr>
          <w:rFonts w:ascii="Calibri" w:eastAsia="Calibri" w:hAnsi="Calibri" w:cs="Calibri"/>
          <w:noProof/>
          <w:sz w:val="22"/>
          <w:szCs w:val="24"/>
          <w:lang w:val="id-ID"/>
        </w:rPr>
        <w:t>, 1965–1971. https://doi.org/10.1016/j.sbspro.2011.04.036</w:t>
      </w:r>
    </w:p>
    <w:p w14:paraId="2FF50A7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Van Joolingen, W. R., &amp; De Jong, T. (1997). An extended dual search space model of scientific discovery learning. </w:t>
      </w:r>
      <w:r w:rsidRPr="00AD23CC">
        <w:rPr>
          <w:rFonts w:ascii="Calibri" w:eastAsia="Calibri" w:hAnsi="Calibri" w:cs="Calibri"/>
          <w:i/>
          <w:iCs/>
          <w:noProof/>
          <w:sz w:val="22"/>
          <w:szCs w:val="24"/>
          <w:lang w:val="id-ID"/>
        </w:rPr>
        <w:t>Instructional Science</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25</w:t>
      </w:r>
      <w:r w:rsidRPr="00AD23CC">
        <w:rPr>
          <w:rFonts w:ascii="Calibri" w:eastAsia="Calibri" w:hAnsi="Calibri" w:cs="Calibri"/>
          <w:noProof/>
          <w:sz w:val="22"/>
          <w:szCs w:val="24"/>
          <w:lang w:val="id-ID"/>
        </w:rPr>
        <w:t>(5), 307–346. https://doi.org/10.1023/A:1002993406499</w:t>
      </w:r>
    </w:p>
    <w:p w14:paraId="669EFBE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Verkade, H., Mulhern, T. D., Lodge, Jason, M., Elliot, K., Cropper, S., Rubinstein, B. I. P., … Mulder, R. (2017). </w:t>
      </w:r>
      <w:r w:rsidRPr="00AD23CC">
        <w:rPr>
          <w:rFonts w:ascii="Calibri" w:eastAsia="Calibri" w:hAnsi="Calibri" w:cs="Calibri"/>
          <w:i/>
          <w:iCs/>
          <w:noProof/>
          <w:sz w:val="22"/>
          <w:szCs w:val="24"/>
          <w:lang w:val="id-ID"/>
        </w:rPr>
        <w:t>Misconceptions as a trigger for enhancing student learning in higher educationn: A handbook for educators</w:t>
      </w:r>
      <w:r w:rsidRPr="00AD23CC">
        <w:rPr>
          <w:rFonts w:ascii="Calibri" w:eastAsia="Calibri" w:hAnsi="Calibri" w:cs="Calibri"/>
          <w:noProof/>
          <w:sz w:val="22"/>
          <w:szCs w:val="24"/>
          <w:lang w:val="id-ID"/>
        </w:rPr>
        <w:t>. Melbourne: The University of Melbourne.</w:t>
      </w:r>
    </w:p>
    <w:p w14:paraId="7C31A440"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Vosniadou, S. (2003). Exploring the Relationships Between Conceptual Change and Intentional Learning. In G. M. Sinatra &amp; P. R. Pintrich (Eds.), </w:t>
      </w:r>
      <w:r w:rsidRPr="00AD23CC">
        <w:rPr>
          <w:rFonts w:ascii="Calibri" w:eastAsia="Calibri" w:hAnsi="Calibri" w:cs="Calibri"/>
          <w:i/>
          <w:iCs/>
          <w:noProof/>
          <w:sz w:val="22"/>
          <w:szCs w:val="24"/>
          <w:lang w:val="id-ID"/>
        </w:rPr>
        <w:t>Intentional conceptual change</w:t>
      </w:r>
      <w:r w:rsidRPr="00AD23CC">
        <w:rPr>
          <w:rFonts w:ascii="Calibri" w:eastAsia="Calibri" w:hAnsi="Calibri" w:cs="Calibri"/>
          <w:noProof/>
          <w:sz w:val="22"/>
          <w:szCs w:val="24"/>
          <w:lang w:val="id-ID"/>
        </w:rPr>
        <w:t>. New Jersey: Lawrence Erlbaum Associates, Inc.</w:t>
      </w:r>
    </w:p>
    <w:p w14:paraId="17773053"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Vosniadou, S. (2019). The Development of Students’ Understanding of Science. </w:t>
      </w:r>
      <w:r w:rsidRPr="00AD23CC">
        <w:rPr>
          <w:rFonts w:ascii="Calibri" w:eastAsia="Calibri" w:hAnsi="Calibri" w:cs="Calibri"/>
          <w:i/>
          <w:iCs/>
          <w:noProof/>
          <w:sz w:val="22"/>
          <w:szCs w:val="24"/>
          <w:lang w:val="id-ID"/>
        </w:rPr>
        <w:t>Frontiers in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4</w:t>
      </w:r>
      <w:r w:rsidRPr="00AD23CC">
        <w:rPr>
          <w:rFonts w:ascii="Calibri" w:eastAsia="Calibri" w:hAnsi="Calibri" w:cs="Calibri"/>
          <w:noProof/>
          <w:sz w:val="22"/>
          <w:szCs w:val="24"/>
          <w:lang w:val="id-ID"/>
        </w:rPr>
        <w:t>(32), 1–6. https://doi.org/10.3389/feduc.2019.00032</w:t>
      </w:r>
    </w:p>
    <w:p w14:paraId="5285AA68"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Wang, T., &amp; Andre, T. (1991). Conceptual change text versus traditional text and application questions versus no questions in learning about electricity. </w:t>
      </w:r>
      <w:r w:rsidRPr="00AD23CC">
        <w:rPr>
          <w:rFonts w:ascii="Calibri" w:eastAsia="Calibri" w:hAnsi="Calibri" w:cs="Calibri"/>
          <w:i/>
          <w:iCs/>
          <w:noProof/>
          <w:sz w:val="22"/>
          <w:szCs w:val="24"/>
          <w:lang w:val="id-ID"/>
        </w:rPr>
        <w:t>Contemporary Educational Psychology</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16</w:t>
      </w:r>
      <w:r w:rsidRPr="00AD23CC">
        <w:rPr>
          <w:rFonts w:ascii="Calibri" w:eastAsia="Calibri" w:hAnsi="Calibri" w:cs="Calibri"/>
          <w:noProof/>
          <w:sz w:val="22"/>
          <w:szCs w:val="24"/>
          <w:lang w:val="id-ID"/>
        </w:rPr>
        <w:t>, 103–116. https://doi.org/10.1016/0361-476X(91)90031-F</w:t>
      </w:r>
    </w:p>
    <w:p w14:paraId="6CE731D8"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Weil-Barais, A. (2001). Constructivism and Education: Constructivist Approaches and the Teaching of Science. </w:t>
      </w:r>
      <w:r w:rsidRPr="00AD23CC">
        <w:rPr>
          <w:rFonts w:ascii="Calibri" w:eastAsia="Calibri" w:hAnsi="Calibri" w:cs="Calibri"/>
          <w:i/>
          <w:iCs/>
          <w:noProof/>
          <w:sz w:val="22"/>
          <w:szCs w:val="24"/>
          <w:lang w:val="id-ID"/>
        </w:rPr>
        <w:t>Prospects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XXXI</w:t>
      </w:r>
      <w:r w:rsidRPr="00AD23CC">
        <w:rPr>
          <w:rFonts w:ascii="Calibri" w:eastAsia="Calibri" w:hAnsi="Calibri" w:cs="Calibri"/>
          <w:noProof/>
          <w:sz w:val="22"/>
          <w:szCs w:val="24"/>
          <w:lang w:val="id-ID"/>
        </w:rPr>
        <w:t>(2), 187–196.</w:t>
      </w:r>
    </w:p>
    <w:p w14:paraId="7C70120B"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Widiyatmoko, A., &amp; Shimizu, K. (2018). Literature Review of Factors Contributing to Students ’ Misconceptions in Light and Optical Instruments. </w:t>
      </w:r>
      <w:r w:rsidRPr="00AD23CC">
        <w:rPr>
          <w:rFonts w:ascii="Calibri" w:eastAsia="Calibri" w:hAnsi="Calibri" w:cs="Calibri"/>
          <w:i/>
          <w:iCs/>
          <w:noProof/>
          <w:sz w:val="22"/>
          <w:szCs w:val="24"/>
          <w:lang w:val="id-ID"/>
        </w:rPr>
        <w:t>International Journal of Environmental and 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13</w:t>
      </w:r>
      <w:r w:rsidRPr="00AD23CC">
        <w:rPr>
          <w:rFonts w:ascii="Calibri" w:eastAsia="Calibri" w:hAnsi="Calibri" w:cs="Calibri"/>
          <w:noProof/>
          <w:sz w:val="22"/>
          <w:szCs w:val="24"/>
          <w:lang w:val="id-ID"/>
        </w:rPr>
        <w:t>(10), 853–863.</w:t>
      </w:r>
    </w:p>
    <w:p w14:paraId="72712375"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Wind, S. A., &amp; Gale, J. D. (2015). Diagnostic Opportunities Using Rasch Measurement in the Context of a Misconceptions‐Based Physical Science Assessment. </w:t>
      </w:r>
      <w:r w:rsidRPr="00AD23CC">
        <w:rPr>
          <w:rFonts w:ascii="Calibri" w:eastAsia="Calibri" w:hAnsi="Calibri" w:cs="Calibri"/>
          <w:i/>
          <w:iCs/>
          <w:noProof/>
          <w:sz w:val="22"/>
          <w:szCs w:val="24"/>
          <w:lang w:val="id-ID"/>
        </w:rPr>
        <w:t>Science Education</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99</w:t>
      </w:r>
      <w:r w:rsidRPr="00AD23CC">
        <w:rPr>
          <w:rFonts w:ascii="Calibri" w:eastAsia="Calibri" w:hAnsi="Calibri" w:cs="Calibri"/>
          <w:noProof/>
          <w:sz w:val="22"/>
          <w:szCs w:val="24"/>
          <w:lang w:val="id-ID"/>
        </w:rPr>
        <w:t>(4), 721–741. https://doi.org/10.1002/sce.21172</w:t>
      </w:r>
    </w:p>
    <w:p w14:paraId="796A3C4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Windschitl, M. (2002). Framing Constructivism in Practice as the Negotiation of Dilemmas: An Analysis of the Conceptual, Pedagogical, Cultural, and Political Challenges Facing Teachers. </w:t>
      </w:r>
      <w:r w:rsidRPr="00AD23CC">
        <w:rPr>
          <w:rFonts w:ascii="Calibri" w:eastAsia="Calibri" w:hAnsi="Calibri" w:cs="Calibri"/>
          <w:i/>
          <w:iCs/>
          <w:noProof/>
          <w:sz w:val="22"/>
          <w:szCs w:val="24"/>
          <w:lang w:val="id-ID"/>
        </w:rPr>
        <w:t>Review of Educational Research</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72</w:t>
      </w:r>
      <w:r w:rsidRPr="00AD23CC">
        <w:rPr>
          <w:rFonts w:ascii="Calibri" w:eastAsia="Calibri" w:hAnsi="Calibri" w:cs="Calibri"/>
          <w:noProof/>
          <w:sz w:val="22"/>
          <w:szCs w:val="24"/>
          <w:lang w:val="id-ID"/>
        </w:rPr>
        <w:t>(2), 131–175. https://doi.org/10.3102/00346543072002131</w:t>
      </w:r>
    </w:p>
    <w:p w14:paraId="7B969A72"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lastRenderedPageBreak/>
        <w:t xml:space="preserve">Woolfolk, A. (2016). </w:t>
      </w:r>
      <w:r w:rsidRPr="00AD23CC">
        <w:rPr>
          <w:rFonts w:ascii="Calibri" w:eastAsia="Calibri" w:hAnsi="Calibri" w:cs="Calibri"/>
          <w:i/>
          <w:iCs/>
          <w:noProof/>
          <w:sz w:val="22"/>
          <w:szCs w:val="24"/>
          <w:lang w:val="id-ID"/>
        </w:rPr>
        <w:t>Educational Psychology</w:t>
      </w:r>
      <w:r w:rsidRPr="00AD23CC">
        <w:rPr>
          <w:rFonts w:ascii="Calibri" w:eastAsia="Calibri" w:hAnsi="Calibri" w:cs="Calibri"/>
          <w:noProof/>
          <w:sz w:val="22"/>
          <w:szCs w:val="24"/>
          <w:lang w:val="id-ID"/>
        </w:rPr>
        <w:t xml:space="preserve"> (13th ed.). London: Pearson Education.</w:t>
      </w:r>
    </w:p>
    <w:p w14:paraId="5BB00BF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4"/>
          <w:lang w:val="id-ID"/>
        </w:rPr>
      </w:pPr>
      <w:r w:rsidRPr="00AD23CC">
        <w:rPr>
          <w:rFonts w:ascii="Calibri" w:eastAsia="Calibri" w:hAnsi="Calibri" w:cs="Calibri"/>
          <w:noProof/>
          <w:sz w:val="22"/>
          <w:szCs w:val="24"/>
          <w:lang w:val="id-ID"/>
        </w:rPr>
        <w:t xml:space="preserve">Zacharia, Z., &amp; Anderson, O. R. (2003). The effects of an interactive computer-based simulation prior to performing a laboratory inquiry-based experiment on students’ conceptual understanding of physics. </w:t>
      </w:r>
      <w:r w:rsidRPr="00AD23CC">
        <w:rPr>
          <w:rFonts w:ascii="Calibri" w:eastAsia="Calibri" w:hAnsi="Calibri" w:cs="Calibri"/>
          <w:i/>
          <w:iCs/>
          <w:noProof/>
          <w:sz w:val="22"/>
          <w:szCs w:val="24"/>
          <w:lang w:val="id-ID"/>
        </w:rPr>
        <w:t>American Journal of Physics</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71</w:t>
      </w:r>
      <w:r w:rsidRPr="00AD23CC">
        <w:rPr>
          <w:rFonts w:ascii="Calibri" w:eastAsia="Calibri" w:hAnsi="Calibri" w:cs="Calibri"/>
          <w:noProof/>
          <w:sz w:val="22"/>
          <w:szCs w:val="24"/>
          <w:lang w:val="id-ID"/>
        </w:rPr>
        <w:t>(6), 618–629. https://doi.org/10.1119/1.1566427</w:t>
      </w:r>
    </w:p>
    <w:p w14:paraId="0BC7C2A6" w14:textId="77777777" w:rsidR="00AD23CC" w:rsidRPr="00AD23CC" w:rsidRDefault="00AD23CC" w:rsidP="00AD23CC">
      <w:pPr>
        <w:widowControl w:val="0"/>
        <w:autoSpaceDE w:val="0"/>
        <w:autoSpaceDN w:val="0"/>
        <w:adjustRightInd w:val="0"/>
        <w:spacing w:after="160"/>
        <w:rPr>
          <w:rFonts w:ascii="Calibri" w:eastAsia="Calibri" w:hAnsi="Calibri" w:cs="Calibri"/>
          <w:noProof/>
          <w:sz w:val="22"/>
          <w:szCs w:val="22"/>
          <w:lang w:val="id-ID"/>
        </w:rPr>
      </w:pPr>
      <w:r w:rsidRPr="00AD23CC">
        <w:rPr>
          <w:rFonts w:ascii="Calibri" w:eastAsia="Calibri" w:hAnsi="Calibri" w:cs="Calibri"/>
          <w:noProof/>
          <w:sz w:val="22"/>
          <w:szCs w:val="24"/>
          <w:lang w:val="id-ID"/>
        </w:rPr>
        <w:t xml:space="preserve">Zietsman, A. I., &amp; Hewson, P. W. (1986). Simulations and Conceptual Change Strategies on Science Learning. </w:t>
      </w:r>
      <w:r w:rsidRPr="00AD23CC">
        <w:rPr>
          <w:rFonts w:ascii="Calibri" w:eastAsia="Calibri" w:hAnsi="Calibri" w:cs="Calibri"/>
          <w:i/>
          <w:iCs/>
          <w:noProof/>
          <w:sz w:val="22"/>
          <w:szCs w:val="24"/>
          <w:lang w:val="id-ID"/>
        </w:rPr>
        <w:t>Journal of Research in Science Teaching</w:t>
      </w:r>
      <w:r w:rsidRPr="00AD23CC">
        <w:rPr>
          <w:rFonts w:ascii="Calibri" w:eastAsia="Calibri" w:hAnsi="Calibri" w:cs="Calibri"/>
          <w:noProof/>
          <w:sz w:val="22"/>
          <w:szCs w:val="24"/>
          <w:lang w:val="id-ID"/>
        </w:rPr>
        <w:t xml:space="preserve">, </w:t>
      </w:r>
      <w:r w:rsidRPr="00AD23CC">
        <w:rPr>
          <w:rFonts w:ascii="Calibri" w:eastAsia="Calibri" w:hAnsi="Calibri" w:cs="Calibri"/>
          <w:i/>
          <w:iCs/>
          <w:noProof/>
          <w:sz w:val="22"/>
          <w:szCs w:val="24"/>
          <w:lang w:val="id-ID"/>
        </w:rPr>
        <w:t>23</w:t>
      </w:r>
      <w:r w:rsidRPr="00AD23CC">
        <w:rPr>
          <w:rFonts w:ascii="Calibri" w:eastAsia="Calibri" w:hAnsi="Calibri" w:cs="Calibri"/>
          <w:noProof/>
          <w:sz w:val="22"/>
          <w:szCs w:val="24"/>
          <w:lang w:val="id-ID"/>
        </w:rPr>
        <w:t>(1), 27–39.</w:t>
      </w:r>
    </w:p>
    <w:p w14:paraId="09830B76" w14:textId="77777777" w:rsidR="00AD23CC" w:rsidRPr="00AD23CC" w:rsidRDefault="00AD23CC" w:rsidP="00AD23CC">
      <w:pPr>
        <w:spacing w:after="160" w:line="259" w:lineRule="auto"/>
        <w:rPr>
          <w:rFonts w:ascii="Calibri" w:eastAsia="Calibri" w:hAnsi="Calibri" w:cs="Arial"/>
          <w:sz w:val="22"/>
          <w:szCs w:val="22"/>
          <w:lang w:val="id-ID"/>
        </w:rPr>
      </w:pPr>
      <w:r w:rsidRPr="00AD23CC">
        <w:rPr>
          <w:rFonts w:ascii="Calibri" w:eastAsia="Calibri" w:hAnsi="Calibri" w:cs="Arial"/>
          <w:sz w:val="22"/>
          <w:szCs w:val="22"/>
          <w:lang w:val="id-ID"/>
        </w:rPr>
        <w:fldChar w:fldCharType="end"/>
      </w:r>
    </w:p>
    <w:p w14:paraId="4DDD12B3" w14:textId="77777777" w:rsidR="00E9012F" w:rsidRDefault="00E9012F" w:rsidP="004557B6">
      <w:pPr>
        <w:rPr>
          <w:sz w:val="24"/>
          <w:szCs w:val="24"/>
        </w:rPr>
      </w:pPr>
    </w:p>
    <w:p w14:paraId="79731B1C" w14:textId="4FE3FF6D" w:rsidR="00AD23CC" w:rsidRDefault="00AD23CC" w:rsidP="00E9012F">
      <w:pPr>
        <w:widowControl w:val="0"/>
        <w:autoSpaceDE w:val="0"/>
        <w:autoSpaceDN w:val="0"/>
        <w:adjustRightInd w:val="0"/>
        <w:spacing w:after="120"/>
        <w:ind w:left="480" w:hanging="480"/>
        <w:rPr>
          <w:sz w:val="22"/>
          <w:szCs w:val="22"/>
        </w:rPr>
      </w:pPr>
    </w:p>
    <w:p w14:paraId="11A2C78E" w14:textId="26E76577" w:rsidR="0038442D" w:rsidRDefault="0038442D" w:rsidP="004557B6">
      <w:pPr>
        <w:rPr>
          <w:sz w:val="24"/>
          <w:szCs w:val="24"/>
        </w:rPr>
      </w:pPr>
    </w:p>
    <w:p w14:paraId="339D4686" w14:textId="77777777" w:rsidR="00AD23CC" w:rsidRDefault="00AD23CC" w:rsidP="00DD33AE">
      <w:pPr>
        <w:pStyle w:val="ListParagraph"/>
        <w:numPr>
          <w:ilvl w:val="0"/>
          <w:numId w:val="1"/>
        </w:numPr>
        <w:spacing w:before="4" w:line="257" w:lineRule="auto"/>
        <w:ind w:left="426" w:right="-64"/>
        <w:rPr>
          <w:b/>
          <w:sz w:val="44"/>
          <w:szCs w:val="44"/>
        </w:rPr>
        <w:sectPr w:rsidR="00AD23CC" w:rsidSect="000463B8">
          <w:headerReference w:type="default" r:id="rId22"/>
          <w:pgSz w:w="11906" w:h="16838" w:code="9"/>
          <w:pgMar w:top="1440" w:right="1440" w:bottom="1440" w:left="1440" w:header="708" w:footer="708" w:gutter="0"/>
          <w:cols w:space="708"/>
          <w:docGrid w:linePitch="360"/>
        </w:sectPr>
      </w:pPr>
    </w:p>
    <w:p w14:paraId="3660CFB6" w14:textId="792C9DF3" w:rsidR="009F52FF" w:rsidRPr="00252F73" w:rsidRDefault="00404CAD" w:rsidP="00DD33AE">
      <w:pPr>
        <w:pStyle w:val="ListParagraph"/>
        <w:numPr>
          <w:ilvl w:val="0"/>
          <w:numId w:val="1"/>
        </w:numPr>
        <w:spacing w:before="4" w:line="257" w:lineRule="auto"/>
        <w:ind w:left="426" w:right="-64"/>
        <w:rPr>
          <w:b/>
          <w:sz w:val="36"/>
          <w:szCs w:val="36"/>
        </w:rPr>
      </w:pPr>
      <w:r w:rsidRPr="00252F73">
        <w:rPr>
          <w:b/>
          <w:sz w:val="36"/>
          <w:szCs w:val="36"/>
        </w:rPr>
        <w:lastRenderedPageBreak/>
        <w:t>Bukti konfirmasi review dan hasil review pertama</w:t>
      </w:r>
      <w:r w:rsidR="009F52FF" w:rsidRPr="00252F73">
        <w:rPr>
          <w:b/>
          <w:sz w:val="36"/>
          <w:szCs w:val="36"/>
        </w:rPr>
        <w:t xml:space="preserve"> (</w:t>
      </w:r>
      <w:r w:rsidRPr="00252F73">
        <w:rPr>
          <w:b/>
          <w:sz w:val="36"/>
          <w:szCs w:val="36"/>
        </w:rPr>
        <w:t>2 Mei 2021</w:t>
      </w:r>
      <w:r w:rsidR="009F52FF" w:rsidRPr="00252F73">
        <w:rPr>
          <w:b/>
          <w:sz w:val="36"/>
          <w:szCs w:val="36"/>
        </w:rPr>
        <w:t>)</w:t>
      </w:r>
    </w:p>
    <w:p w14:paraId="3B0D4FBC" w14:textId="2BAD545B" w:rsidR="009F52FF" w:rsidRDefault="009F52FF" w:rsidP="009F52FF">
      <w:pPr>
        <w:pStyle w:val="ListParagraph"/>
        <w:spacing w:before="4" w:line="257" w:lineRule="auto"/>
        <w:ind w:left="1867" w:right="711"/>
        <w:rPr>
          <w:b/>
          <w:sz w:val="44"/>
          <w:szCs w:val="44"/>
        </w:rPr>
      </w:pPr>
    </w:p>
    <w:p w14:paraId="3389E39A" w14:textId="02E37C5E" w:rsidR="004E0EE6" w:rsidRPr="004E0EE6" w:rsidRDefault="00061164" w:rsidP="0030397B">
      <w:pPr>
        <w:spacing w:before="4" w:line="257" w:lineRule="auto"/>
        <w:ind w:right="711"/>
        <w:rPr>
          <w:b/>
          <w:sz w:val="44"/>
          <w:szCs w:val="44"/>
        </w:rPr>
      </w:pPr>
      <w:r w:rsidRPr="00061164">
        <w:rPr>
          <w:b/>
          <w:sz w:val="44"/>
          <w:szCs w:val="44"/>
        </w:rPr>
        <w:drawing>
          <wp:inline distT="0" distB="0" distL="0" distR="0" wp14:anchorId="6C26CEF4" wp14:editId="008232EC">
            <wp:extent cx="5731510" cy="29476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47670"/>
                    </a:xfrm>
                    <a:prstGeom prst="rect">
                      <a:avLst/>
                    </a:prstGeom>
                  </pic:spPr>
                </pic:pic>
              </a:graphicData>
            </a:graphic>
          </wp:inline>
        </w:drawing>
      </w:r>
    </w:p>
    <w:p w14:paraId="745E2F1B" w14:textId="252C8BD5" w:rsidR="0038442D" w:rsidRDefault="00862D00" w:rsidP="009F52FF">
      <w:pPr>
        <w:pStyle w:val="ListParagraph"/>
        <w:spacing w:before="4" w:line="257" w:lineRule="auto"/>
        <w:ind w:left="0" w:right="711"/>
        <w:rPr>
          <w:b/>
          <w:sz w:val="24"/>
          <w:szCs w:val="24"/>
        </w:rPr>
      </w:pPr>
      <w:r w:rsidRPr="00862D00">
        <w:rPr>
          <w:b/>
          <w:sz w:val="24"/>
          <w:szCs w:val="24"/>
        </w:rPr>
        <w:drawing>
          <wp:inline distT="0" distB="0" distL="0" distR="0" wp14:anchorId="38FD26B2" wp14:editId="3D001108">
            <wp:extent cx="5731510" cy="29000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00045"/>
                    </a:xfrm>
                    <a:prstGeom prst="rect">
                      <a:avLst/>
                    </a:prstGeom>
                  </pic:spPr>
                </pic:pic>
              </a:graphicData>
            </a:graphic>
          </wp:inline>
        </w:drawing>
      </w:r>
    </w:p>
    <w:p w14:paraId="712F12C5" w14:textId="35EFFAB7" w:rsidR="001B709A" w:rsidRDefault="001B709A" w:rsidP="009F52FF">
      <w:pPr>
        <w:pStyle w:val="ListParagraph"/>
        <w:spacing w:before="4" w:line="257" w:lineRule="auto"/>
        <w:ind w:left="0" w:right="711"/>
        <w:rPr>
          <w:b/>
          <w:sz w:val="24"/>
          <w:szCs w:val="24"/>
        </w:rPr>
      </w:pPr>
    </w:p>
    <w:p w14:paraId="3A98469B" w14:textId="7ED98A63" w:rsidR="001B709A" w:rsidRDefault="001B709A" w:rsidP="009F52FF">
      <w:pPr>
        <w:pStyle w:val="ListParagraph"/>
        <w:spacing w:before="4" w:line="257" w:lineRule="auto"/>
        <w:ind w:left="0" w:right="711"/>
        <w:rPr>
          <w:b/>
          <w:sz w:val="24"/>
          <w:szCs w:val="24"/>
        </w:rPr>
      </w:pPr>
    </w:p>
    <w:p w14:paraId="7A9EEF3F" w14:textId="37A31C9A" w:rsidR="002050C7" w:rsidRDefault="002050C7">
      <w:pPr>
        <w:spacing w:after="160" w:line="259" w:lineRule="auto"/>
        <w:rPr>
          <w:b/>
          <w:sz w:val="24"/>
          <w:szCs w:val="24"/>
        </w:rPr>
      </w:pPr>
      <w:r>
        <w:rPr>
          <w:b/>
          <w:sz w:val="24"/>
          <w:szCs w:val="24"/>
        </w:rPr>
        <w:br w:type="page"/>
      </w:r>
    </w:p>
    <w:p w14:paraId="078D245A" w14:textId="77777777" w:rsidR="001B709A" w:rsidRDefault="001B709A" w:rsidP="009F52FF">
      <w:pPr>
        <w:pStyle w:val="ListParagraph"/>
        <w:spacing w:before="4" w:line="257" w:lineRule="auto"/>
        <w:ind w:left="0" w:right="711"/>
        <w:rPr>
          <w:b/>
          <w:sz w:val="24"/>
          <w:szCs w:val="24"/>
        </w:rPr>
      </w:pPr>
    </w:p>
    <w:p w14:paraId="54E73BE4" w14:textId="5D97FFE3" w:rsidR="009F52FF" w:rsidRPr="005A2567" w:rsidRDefault="00862D00" w:rsidP="008E1E73">
      <w:pPr>
        <w:pStyle w:val="ListParagraph"/>
        <w:numPr>
          <w:ilvl w:val="0"/>
          <w:numId w:val="1"/>
        </w:numPr>
        <w:spacing w:before="4" w:line="257" w:lineRule="auto"/>
        <w:ind w:left="426" w:right="-64"/>
        <w:rPr>
          <w:b/>
          <w:sz w:val="36"/>
          <w:szCs w:val="36"/>
        </w:rPr>
      </w:pPr>
      <w:bookmarkStart w:id="2" w:name="_Hlk181170003"/>
      <w:r w:rsidRPr="005A2567">
        <w:rPr>
          <w:b/>
          <w:sz w:val="36"/>
          <w:szCs w:val="36"/>
        </w:rPr>
        <w:t>Bukti konfirmasi submit revisi pertama, respon kepada reviewer, dan artikel yang diresubmit</w:t>
      </w:r>
      <w:r w:rsidR="009F52FF" w:rsidRPr="005A2567">
        <w:rPr>
          <w:b/>
          <w:sz w:val="36"/>
          <w:szCs w:val="36"/>
        </w:rPr>
        <w:t xml:space="preserve"> (</w:t>
      </w:r>
      <w:r w:rsidRPr="005A2567">
        <w:rPr>
          <w:b/>
          <w:sz w:val="36"/>
          <w:szCs w:val="36"/>
        </w:rPr>
        <w:t>19 Juni 2021</w:t>
      </w:r>
      <w:r w:rsidR="009F52FF" w:rsidRPr="005A2567">
        <w:rPr>
          <w:b/>
          <w:sz w:val="36"/>
          <w:szCs w:val="36"/>
        </w:rPr>
        <w:t>)</w:t>
      </w:r>
      <w:bookmarkEnd w:id="2"/>
    </w:p>
    <w:p w14:paraId="0E2302F8" w14:textId="0B485F77" w:rsidR="00CA5F3B" w:rsidRPr="00CA5F3B" w:rsidRDefault="00CA5F3B" w:rsidP="00CA5F3B">
      <w:pPr>
        <w:spacing w:before="4" w:line="257" w:lineRule="auto"/>
        <w:ind w:right="711"/>
        <w:rPr>
          <w:b/>
          <w:sz w:val="44"/>
          <w:szCs w:val="44"/>
        </w:rPr>
      </w:pPr>
      <w:r w:rsidRPr="00CA5F3B">
        <w:rPr>
          <w:b/>
          <w:sz w:val="44"/>
          <w:szCs w:val="44"/>
        </w:rPr>
        <w:drawing>
          <wp:inline distT="0" distB="0" distL="0" distR="0" wp14:anchorId="72830AF4" wp14:editId="6E27F3E2">
            <wp:extent cx="5731510" cy="2684678"/>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710"/>
                    <a:stretch/>
                  </pic:blipFill>
                  <pic:spPr bwMode="auto">
                    <a:xfrm>
                      <a:off x="0" y="0"/>
                      <a:ext cx="5731510" cy="2684678"/>
                    </a:xfrm>
                    <a:prstGeom prst="rect">
                      <a:avLst/>
                    </a:prstGeom>
                    <a:ln>
                      <a:noFill/>
                    </a:ln>
                    <a:extLst>
                      <a:ext uri="{53640926-AAD7-44D8-BBD7-CCE9431645EC}">
                        <a14:shadowObscured xmlns:a14="http://schemas.microsoft.com/office/drawing/2010/main"/>
                      </a:ext>
                    </a:extLst>
                  </pic:spPr>
                </pic:pic>
              </a:graphicData>
            </a:graphic>
          </wp:inline>
        </w:drawing>
      </w:r>
    </w:p>
    <w:p w14:paraId="667CBB9D" w14:textId="4ECFF79F" w:rsidR="00FC77B4" w:rsidRDefault="00FC77B4" w:rsidP="00FC77B4">
      <w:pPr>
        <w:spacing w:after="120" w:line="259" w:lineRule="auto"/>
        <w:rPr>
          <w:bCs/>
          <w:sz w:val="24"/>
          <w:szCs w:val="24"/>
        </w:rPr>
      </w:pPr>
    </w:p>
    <w:p w14:paraId="7B9DE0C3" w14:textId="77777777" w:rsidR="00FC77B4" w:rsidRPr="00FC77B4" w:rsidRDefault="00FC77B4" w:rsidP="00FC77B4">
      <w:pPr>
        <w:spacing w:after="120" w:line="259" w:lineRule="auto"/>
        <w:rPr>
          <w:b/>
          <w:sz w:val="24"/>
          <w:szCs w:val="24"/>
          <w:u w:val="single"/>
        </w:rPr>
      </w:pPr>
      <w:r w:rsidRPr="00FC77B4">
        <w:rPr>
          <w:b/>
          <w:sz w:val="24"/>
          <w:szCs w:val="24"/>
          <w:u w:val="single"/>
        </w:rPr>
        <w:t>Reviewer C:</w:t>
      </w:r>
    </w:p>
    <w:p w14:paraId="72C48B07" w14:textId="77777777" w:rsidR="00FC77B4" w:rsidRPr="00FC77B4" w:rsidRDefault="00FC77B4" w:rsidP="00FC77B4">
      <w:pPr>
        <w:spacing w:after="120" w:line="259" w:lineRule="auto"/>
        <w:rPr>
          <w:bCs/>
          <w:sz w:val="24"/>
          <w:szCs w:val="24"/>
        </w:rPr>
      </w:pPr>
      <w:r w:rsidRPr="00FC77B4">
        <w:rPr>
          <w:bCs/>
          <w:sz w:val="24"/>
          <w:szCs w:val="24"/>
        </w:rPr>
        <w:t>This article has potential to make contribution to science education, especially physis eduation. However, there are some weakness that should be overcome.These are;</w:t>
      </w:r>
    </w:p>
    <w:p w14:paraId="791684D9" w14:textId="01CEE024" w:rsidR="00FC77B4" w:rsidRDefault="00FC77B4" w:rsidP="00FC77B4">
      <w:pPr>
        <w:spacing w:after="120" w:line="259" w:lineRule="auto"/>
        <w:rPr>
          <w:bCs/>
          <w:sz w:val="24"/>
          <w:szCs w:val="24"/>
        </w:rPr>
      </w:pPr>
      <w:r w:rsidRPr="00FC77B4">
        <w:rPr>
          <w:bCs/>
          <w:sz w:val="24"/>
          <w:szCs w:val="24"/>
        </w:rPr>
        <w:t>1.What ist he orijinality of this manuscrits or contribution to the exising literature apart from other review studies about science or physics education. Some sentencess are needed at the end of the introduction part.</w:t>
      </w:r>
    </w:p>
    <w:p w14:paraId="64B4380B" w14:textId="25FF854B" w:rsidR="00FC77B4" w:rsidRPr="00FC77B4" w:rsidRDefault="00FC77B4" w:rsidP="00FC77B4">
      <w:pPr>
        <w:spacing w:after="120" w:line="259" w:lineRule="auto"/>
        <w:rPr>
          <w:bCs/>
          <w:sz w:val="24"/>
          <w:szCs w:val="24"/>
        </w:rPr>
      </w:pPr>
      <w:r w:rsidRPr="00FC77B4">
        <w:rPr>
          <w:bCs/>
          <w:sz w:val="24"/>
          <w:szCs w:val="24"/>
        </w:rPr>
        <w:t>3.</w:t>
      </w:r>
      <w:r>
        <w:rPr>
          <w:bCs/>
          <w:sz w:val="24"/>
          <w:szCs w:val="24"/>
        </w:rPr>
        <w:t xml:space="preserve"> </w:t>
      </w:r>
      <w:r w:rsidRPr="00FC77B4">
        <w:rPr>
          <w:bCs/>
          <w:sz w:val="24"/>
          <w:szCs w:val="24"/>
        </w:rPr>
        <w:t>At the end of the ıntroduction part, purpose of the manuscript should be written more clearly with sub-problems or reserch questions.</w:t>
      </w:r>
    </w:p>
    <w:p w14:paraId="787968BE" w14:textId="77777777" w:rsidR="00FC77B4" w:rsidRDefault="00FC77B4" w:rsidP="00FC77B4">
      <w:pPr>
        <w:spacing w:after="120" w:line="259" w:lineRule="auto"/>
        <w:rPr>
          <w:bCs/>
          <w:sz w:val="24"/>
          <w:szCs w:val="24"/>
        </w:rPr>
      </w:pPr>
    </w:p>
    <w:p w14:paraId="18E9B7FE" w14:textId="14F109E2" w:rsidR="00FC77B4" w:rsidRPr="00FC77B4" w:rsidRDefault="00FC77B4" w:rsidP="00FC77B4">
      <w:pPr>
        <w:spacing w:after="120" w:line="259" w:lineRule="auto"/>
        <w:rPr>
          <w:b/>
          <w:i/>
          <w:iCs/>
          <w:sz w:val="24"/>
          <w:szCs w:val="24"/>
          <w:u w:val="single"/>
        </w:rPr>
      </w:pPr>
      <w:r w:rsidRPr="00FC77B4">
        <w:rPr>
          <w:b/>
          <w:i/>
          <w:iCs/>
          <w:sz w:val="24"/>
          <w:szCs w:val="24"/>
          <w:u w:val="single"/>
        </w:rPr>
        <w:t>Response:</w:t>
      </w:r>
    </w:p>
    <w:p w14:paraId="2167DA86" w14:textId="5D7186DD" w:rsidR="00151F58" w:rsidRDefault="00151F58" w:rsidP="00FC77B4">
      <w:pPr>
        <w:spacing w:after="120" w:line="259" w:lineRule="auto"/>
        <w:rPr>
          <w:bCs/>
          <w:sz w:val="24"/>
          <w:szCs w:val="24"/>
        </w:rPr>
      </w:pPr>
      <w:r>
        <w:rPr>
          <w:bCs/>
          <w:sz w:val="24"/>
          <w:szCs w:val="24"/>
        </w:rPr>
        <w:t>We update this:</w:t>
      </w:r>
    </w:p>
    <w:p w14:paraId="0FBD1B51" w14:textId="2BACDB5A" w:rsidR="00FC77B4" w:rsidRDefault="00FC77B4" w:rsidP="00FC77B4">
      <w:pPr>
        <w:spacing w:after="120" w:line="259" w:lineRule="auto"/>
        <w:rPr>
          <w:bCs/>
          <w:sz w:val="24"/>
          <w:szCs w:val="24"/>
        </w:rPr>
      </w:pPr>
      <w:r w:rsidRPr="00FC77B4">
        <w:rPr>
          <w:bCs/>
          <w:sz w:val="24"/>
          <w:szCs w:val="24"/>
        </w:rPr>
        <w:drawing>
          <wp:inline distT="0" distB="0" distL="0" distR="0" wp14:anchorId="44FFFB4D" wp14:editId="42C54BF3">
            <wp:extent cx="5731510" cy="243078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30780"/>
                    </a:xfrm>
                    <a:prstGeom prst="rect">
                      <a:avLst/>
                    </a:prstGeom>
                  </pic:spPr>
                </pic:pic>
              </a:graphicData>
            </a:graphic>
          </wp:inline>
        </w:drawing>
      </w:r>
    </w:p>
    <w:p w14:paraId="6FF37C07" w14:textId="14B18D67" w:rsidR="00FC77B4" w:rsidRDefault="00FC77B4" w:rsidP="00FC77B4">
      <w:pPr>
        <w:spacing w:after="120" w:line="259" w:lineRule="auto"/>
        <w:rPr>
          <w:bCs/>
          <w:sz w:val="24"/>
          <w:szCs w:val="24"/>
        </w:rPr>
      </w:pPr>
      <w:r w:rsidRPr="00FC77B4">
        <w:rPr>
          <w:bCs/>
          <w:sz w:val="24"/>
          <w:szCs w:val="24"/>
        </w:rPr>
        <w:lastRenderedPageBreak/>
        <w:t>2. In coding process, how the author handels  valididy and reliability issues. Some explanation is needed under the title codding.</w:t>
      </w:r>
    </w:p>
    <w:p w14:paraId="7A8A6AA7" w14:textId="77777777" w:rsidR="006E4F72" w:rsidRDefault="006E4F72" w:rsidP="00FC77B4">
      <w:pPr>
        <w:spacing w:after="120" w:line="259" w:lineRule="auto"/>
        <w:rPr>
          <w:bCs/>
          <w:sz w:val="24"/>
          <w:szCs w:val="24"/>
        </w:rPr>
      </w:pPr>
    </w:p>
    <w:p w14:paraId="187E3D03" w14:textId="77777777" w:rsidR="009C2F1A" w:rsidRPr="00FC77B4" w:rsidRDefault="009C2F1A" w:rsidP="009C2F1A">
      <w:pPr>
        <w:spacing w:after="120" w:line="259" w:lineRule="auto"/>
        <w:rPr>
          <w:b/>
          <w:i/>
          <w:iCs/>
          <w:sz w:val="24"/>
          <w:szCs w:val="24"/>
          <w:u w:val="single"/>
        </w:rPr>
      </w:pPr>
      <w:r w:rsidRPr="00FC77B4">
        <w:rPr>
          <w:b/>
          <w:i/>
          <w:iCs/>
          <w:sz w:val="24"/>
          <w:szCs w:val="24"/>
          <w:u w:val="single"/>
        </w:rPr>
        <w:t>Response:</w:t>
      </w:r>
    </w:p>
    <w:p w14:paraId="3DF75FD3" w14:textId="77777777" w:rsidR="009C2F1A" w:rsidRDefault="009C2F1A" w:rsidP="009C2F1A">
      <w:pPr>
        <w:spacing w:after="120" w:line="259" w:lineRule="auto"/>
        <w:rPr>
          <w:bCs/>
          <w:sz w:val="24"/>
          <w:szCs w:val="24"/>
        </w:rPr>
      </w:pPr>
      <w:r>
        <w:rPr>
          <w:bCs/>
          <w:sz w:val="24"/>
          <w:szCs w:val="24"/>
        </w:rPr>
        <w:t>We update this:</w:t>
      </w:r>
    </w:p>
    <w:p w14:paraId="402636DE" w14:textId="7876BECF" w:rsidR="009C2F1A" w:rsidRDefault="002E4D4B" w:rsidP="00FC77B4">
      <w:pPr>
        <w:spacing w:after="120" w:line="259" w:lineRule="auto"/>
        <w:rPr>
          <w:bCs/>
          <w:sz w:val="24"/>
          <w:szCs w:val="24"/>
        </w:rPr>
      </w:pPr>
      <w:r w:rsidRPr="002E4D4B">
        <w:rPr>
          <w:bCs/>
          <w:sz w:val="24"/>
          <w:szCs w:val="24"/>
        </w:rPr>
        <w:drawing>
          <wp:inline distT="0" distB="0" distL="0" distR="0" wp14:anchorId="5CDA01C3" wp14:editId="1E452BE6">
            <wp:extent cx="5731510" cy="2470150"/>
            <wp:effectExtent l="0" t="0" r="254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470150"/>
                    </a:xfrm>
                    <a:prstGeom prst="rect">
                      <a:avLst/>
                    </a:prstGeom>
                  </pic:spPr>
                </pic:pic>
              </a:graphicData>
            </a:graphic>
          </wp:inline>
        </w:drawing>
      </w:r>
    </w:p>
    <w:p w14:paraId="7E830AB9" w14:textId="77777777" w:rsidR="00D8073E" w:rsidRPr="00FC77B4" w:rsidRDefault="00D8073E" w:rsidP="00FC77B4">
      <w:pPr>
        <w:spacing w:after="120" w:line="259" w:lineRule="auto"/>
        <w:rPr>
          <w:bCs/>
          <w:sz w:val="24"/>
          <w:szCs w:val="24"/>
        </w:rPr>
      </w:pPr>
    </w:p>
    <w:p w14:paraId="3214A583" w14:textId="77777777" w:rsidR="00FC77B4" w:rsidRPr="00FC77B4" w:rsidRDefault="00FC77B4" w:rsidP="00FC77B4">
      <w:pPr>
        <w:spacing w:after="120" w:line="259" w:lineRule="auto"/>
        <w:rPr>
          <w:bCs/>
          <w:sz w:val="24"/>
          <w:szCs w:val="24"/>
        </w:rPr>
      </w:pPr>
      <w:r w:rsidRPr="00FC77B4">
        <w:rPr>
          <w:bCs/>
          <w:sz w:val="24"/>
          <w:szCs w:val="24"/>
        </w:rPr>
        <w:t xml:space="preserve">4. Your articles' most important part is " the issues discussed, the projected development of the problem, and the author's comments" .Actually, our expation is to give all these issues in detail seperatly under the title like the issues discussed,..... </w:t>
      </w:r>
      <w:r w:rsidRPr="00FC77B4">
        <w:rPr>
          <w:b/>
          <w:sz w:val="24"/>
          <w:szCs w:val="24"/>
        </w:rPr>
        <w:t>with a table that includes all detail information given each reviewed article</w:t>
      </w:r>
      <w:r w:rsidRPr="00FC77B4">
        <w:rPr>
          <w:bCs/>
          <w:sz w:val="24"/>
          <w:szCs w:val="24"/>
        </w:rPr>
        <w:t>.  . If  you give  the misconceptions in physics from the articles you reviwed in detail with a table, this article's impact factor can ingrease and many authors interetsing  misconceptions in physics  can use this article . Also, if you add 2020 articles to your studies, ıt would be better.</w:t>
      </w:r>
    </w:p>
    <w:p w14:paraId="5D1E72B9" w14:textId="77777777" w:rsidR="00FC77B4" w:rsidRPr="00FC77B4" w:rsidRDefault="00FC77B4" w:rsidP="00FC77B4">
      <w:pPr>
        <w:spacing w:after="120" w:line="259" w:lineRule="auto"/>
        <w:rPr>
          <w:bCs/>
          <w:sz w:val="24"/>
          <w:szCs w:val="24"/>
        </w:rPr>
      </w:pPr>
      <w:r w:rsidRPr="00FC77B4">
        <w:rPr>
          <w:bCs/>
          <w:sz w:val="24"/>
          <w:szCs w:val="24"/>
        </w:rPr>
        <w:t>5.The other parts of your article seem acceptable.</w:t>
      </w:r>
    </w:p>
    <w:p w14:paraId="1B5B71BF" w14:textId="439859F4" w:rsidR="00FC77B4" w:rsidRDefault="00FC77B4" w:rsidP="00FC77B4">
      <w:pPr>
        <w:spacing w:after="120" w:line="259" w:lineRule="auto"/>
        <w:rPr>
          <w:bCs/>
          <w:sz w:val="24"/>
          <w:szCs w:val="24"/>
        </w:rPr>
      </w:pPr>
    </w:p>
    <w:p w14:paraId="450D8443" w14:textId="77777777" w:rsidR="00597887" w:rsidRPr="00FC77B4" w:rsidRDefault="00597887" w:rsidP="00597887">
      <w:pPr>
        <w:spacing w:after="120" w:line="259" w:lineRule="auto"/>
        <w:rPr>
          <w:b/>
          <w:i/>
          <w:iCs/>
          <w:sz w:val="24"/>
          <w:szCs w:val="24"/>
          <w:u w:val="single"/>
        </w:rPr>
      </w:pPr>
      <w:r w:rsidRPr="00FC77B4">
        <w:rPr>
          <w:b/>
          <w:i/>
          <w:iCs/>
          <w:sz w:val="24"/>
          <w:szCs w:val="24"/>
          <w:u w:val="single"/>
        </w:rPr>
        <w:t>Response:</w:t>
      </w:r>
    </w:p>
    <w:p w14:paraId="3297CE37" w14:textId="77777777" w:rsidR="00597887" w:rsidRDefault="00597887" w:rsidP="00597887">
      <w:pPr>
        <w:spacing w:after="120" w:line="259" w:lineRule="auto"/>
        <w:rPr>
          <w:bCs/>
          <w:sz w:val="24"/>
          <w:szCs w:val="24"/>
        </w:rPr>
      </w:pPr>
      <w:r>
        <w:rPr>
          <w:bCs/>
          <w:sz w:val="24"/>
          <w:szCs w:val="24"/>
        </w:rPr>
        <w:t>We update this:</w:t>
      </w:r>
    </w:p>
    <w:p w14:paraId="46BFBEF4" w14:textId="28BD3EB0" w:rsidR="00597887" w:rsidRDefault="00D8550B" w:rsidP="00FC77B4">
      <w:pPr>
        <w:spacing w:after="120" w:line="259" w:lineRule="auto"/>
        <w:rPr>
          <w:bCs/>
          <w:sz w:val="24"/>
          <w:szCs w:val="24"/>
        </w:rPr>
      </w:pPr>
      <w:r w:rsidRPr="00D8550B">
        <w:rPr>
          <w:bCs/>
          <w:sz w:val="24"/>
          <w:szCs w:val="24"/>
        </w:rPr>
        <w:drawing>
          <wp:inline distT="0" distB="0" distL="0" distR="0" wp14:anchorId="2CD785BF" wp14:editId="43D6F68C">
            <wp:extent cx="5731510" cy="1555115"/>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555115"/>
                    </a:xfrm>
                    <a:prstGeom prst="rect">
                      <a:avLst/>
                    </a:prstGeom>
                  </pic:spPr>
                </pic:pic>
              </a:graphicData>
            </a:graphic>
          </wp:inline>
        </w:drawing>
      </w:r>
    </w:p>
    <w:p w14:paraId="7F1ABA01" w14:textId="0FFBC6E6" w:rsidR="00D8550B" w:rsidRDefault="00D8550B" w:rsidP="00FC77B4">
      <w:pPr>
        <w:spacing w:after="120" w:line="259" w:lineRule="auto"/>
        <w:rPr>
          <w:bCs/>
          <w:sz w:val="24"/>
          <w:szCs w:val="24"/>
        </w:rPr>
      </w:pPr>
      <w:r w:rsidRPr="00D8550B">
        <w:rPr>
          <w:bCs/>
          <w:sz w:val="24"/>
          <w:szCs w:val="24"/>
        </w:rPr>
        <w:lastRenderedPageBreak/>
        <w:drawing>
          <wp:inline distT="0" distB="0" distL="0" distR="0" wp14:anchorId="4FBBD8A7" wp14:editId="3CB53D41">
            <wp:extent cx="5731510" cy="223266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232660"/>
                    </a:xfrm>
                    <a:prstGeom prst="rect">
                      <a:avLst/>
                    </a:prstGeom>
                  </pic:spPr>
                </pic:pic>
              </a:graphicData>
            </a:graphic>
          </wp:inline>
        </w:drawing>
      </w:r>
    </w:p>
    <w:p w14:paraId="490A28B1" w14:textId="6EBEA721" w:rsidR="00D8550B" w:rsidRDefault="00D8550B" w:rsidP="00FC77B4">
      <w:pPr>
        <w:spacing w:after="120" w:line="259" w:lineRule="auto"/>
        <w:rPr>
          <w:bCs/>
          <w:sz w:val="24"/>
          <w:szCs w:val="24"/>
        </w:rPr>
      </w:pPr>
    </w:p>
    <w:p w14:paraId="231E9327" w14:textId="670003E0" w:rsidR="00B96834" w:rsidRDefault="00B96834" w:rsidP="00FC77B4">
      <w:pPr>
        <w:spacing w:after="120" w:line="259" w:lineRule="auto"/>
        <w:rPr>
          <w:bCs/>
          <w:sz w:val="24"/>
          <w:szCs w:val="24"/>
        </w:rPr>
      </w:pPr>
    </w:p>
    <w:p w14:paraId="2BE903E1" w14:textId="77777777" w:rsidR="00B96834" w:rsidRPr="00B96834" w:rsidRDefault="00B96834" w:rsidP="00B96834">
      <w:pPr>
        <w:spacing w:after="120" w:line="259" w:lineRule="auto"/>
        <w:rPr>
          <w:b/>
          <w:sz w:val="24"/>
          <w:szCs w:val="24"/>
          <w:u w:val="single"/>
        </w:rPr>
      </w:pPr>
      <w:r w:rsidRPr="00B96834">
        <w:rPr>
          <w:b/>
          <w:sz w:val="24"/>
          <w:szCs w:val="24"/>
          <w:u w:val="single"/>
        </w:rPr>
        <w:t>Reviewer D:</w:t>
      </w:r>
    </w:p>
    <w:p w14:paraId="25469E17" w14:textId="77777777" w:rsidR="00B96834" w:rsidRPr="00B96834" w:rsidRDefault="00B96834" w:rsidP="00B96834">
      <w:pPr>
        <w:spacing w:after="120" w:line="259" w:lineRule="auto"/>
        <w:rPr>
          <w:bCs/>
          <w:sz w:val="24"/>
          <w:szCs w:val="24"/>
        </w:rPr>
      </w:pPr>
    </w:p>
    <w:p w14:paraId="212B998C" w14:textId="77777777" w:rsidR="00B96834" w:rsidRPr="00B96834" w:rsidRDefault="00B96834" w:rsidP="00B96834">
      <w:pPr>
        <w:spacing w:after="120" w:line="259" w:lineRule="auto"/>
        <w:rPr>
          <w:bCs/>
          <w:sz w:val="24"/>
          <w:szCs w:val="24"/>
        </w:rPr>
      </w:pPr>
      <w:r w:rsidRPr="00B96834">
        <w:rPr>
          <w:bCs/>
          <w:sz w:val="24"/>
          <w:szCs w:val="24"/>
        </w:rPr>
        <w:t>This paper is used a meta-analysis approach to achieve its aims. Although the topic that the paper is dealing with, is very important , there are many weakness such as:</w:t>
      </w:r>
    </w:p>
    <w:p w14:paraId="20AE4463" w14:textId="77777777" w:rsidR="00B96834" w:rsidRPr="00B96834" w:rsidRDefault="00B96834" w:rsidP="00B96834">
      <w:pPr>
        <w:spacing w:after="120" w:line="259" w:lineRule="auto"/>
        <w:rPr>
          <w:bCs/>
          <w:sz w:val="24"/>
          <w:szCs w:val="24"/>
        </w:rPr>
      </w:pPr>
    </w:p>
    <w:p w14:paraId="58824A1A" w14:textId="77777777" w:rsidR="00B96834" w:rsidRPr="00B96834" w:rsidRDefault="00B96834" w:rsidP="00B96834">
      <w:pPr>
        <w:pStyle w:val="ListParagraph"/>
        <w:numPr>
          <w:ilvl w:val="0"/>
          <w:numId w:val="15"/>
        </w:numPr>
        <w:spacing w:after="120" w:line="259" w:lineRule="auto"/>
        <w:ind w:left="360"/>
        <w:rPr>
          <w:bCs/>
          <w:sz w:val="24"/>
          <w:szCs w:val="24"/>
        </w:rPr>
      </w:pPr>
      <w:r w:rsidRPr="00B96834">
        <w:rPr>
          <w:bCs/>
          <w:sz w:val="24"/>
          <w:szCs w:val="24"/>
        </w:rPr>
        <w:t>What are the purposes or aims of this analysis?. If it just an analysis there many research done in this area. The author(s) unfortunately, did not determine clearly the purposes of their research.</w:t>
      </w:r>
    </w:p>
    <w:p w14:paraId="1961B3DF" w14:textId="77777777" w:rsidR="00B96834" w:rsidRPr="00B96834" w:rsidRDefault="00B96834" w:rsidP="00B96834">
      <w:pPr>
        <w:pStyle w:val="ListParagraph"/>
        <w:numPr>
          <w:ilvl w:val="0"/>
          <w:numId w:val="15"/>
        </w:numPr>
        <w:spacing w:after="120" w:line="259" w:lineRule="auto"/>
        <w:ind w:left="360"/>
        <w:rPr>
          <w:bCs/>
          <w:sz w:val="24"/>
          <w:szCs w:val="24"/>
        </w:rPr>
      </w:pPr>
      <w:r w:rsidRPr="00B96834">
        <w:rPr>
          <w:bCs/>
          <w:sz w:val="24"/>
          <w:szCs w:val="24"/>
        </w:rPr>
        <w:t>I could not see any research problem, research questions and even the purposes or the aims of the research in the manuscript.</w:t>
      </w:r>
    </w:p>
    <w:p w14:paraId="543E1F1E" w14:textId="25748136" w:rsidR="00B96834" w:rsidRDefault="00B96834" w:rsidP="00B96834">
      <w:pPr>
        <w:pStyle w:val="ListParagraph"/>
        <w:numPr>
          <w:ilvl w:val="0"/>
          <w:numId w:val="15"/>
        </w:numPr>
        <w:spacing w:after="120" w:line="259" w:lineRule="auto"/>
        <w:ind w:left="360"/>
        <w:rPr>
          <w:bCs/>
          <w:sz w:val="24"/>
          <w:szCs w:val="24"/>
        </w:rPr>
      </w:pPr>
      <w:r w:rsidRPr="00B96834">
        <w:rPr>
          <w:bCs/>
          <w:sz w:val="24"/>
          <w:szCs w:val="24"/>
        </w:rPr>
        <w:t>The author(s) did not identified the target audience of the research, is the teachers or the researchers.</w:t>
      </w:r>
    </w:p>
    <w:p w14:paraId="018DB1D6" w14:textId="3AB888A1" w:rsidR="00B96834" w:rsidRDefault="00B96834" w:rsidP="00B96834">
      <w:pPr>
        <w:spacing w:after="120" w:line="259" w:lineRule="auto"/>
        <w:rPr>
          <w:bCs/>
          <w:sz w:val="24"/>
          <w:szCs w:val="24"/>
        </w:rPr>
      </w:pPr>
    </w:p>
    <w:p w14:paraId="43006CEC" w14:textId="77777777" w:rsidR="00B96834" w:rsidRPr="00FC77B4" w:rsidRDefault="00B96834" w:rsidP="00B96834">
      <w:pPr>
        <w:spacing w:after="120" w:line="259" w:lineRule="auto"/>
        <w:rPr>
          <w:b/>
          <w:i/>
          <w:iCs/>
          <w:sz w:val="24"/>
          <w:szCs w:val="24"/>
          <w:u w:val="single"/>
        </w:rPr>
      </w:pPr>
      <w:r w:rsidRPr="00FC77B4">
        <w:rPr>
          <w:b/>
          <w:i/>
          <w:iCs/>
          <w:sz w:val="24"/>
          <w:szCs w:val="24"/>
          <w:u w:val="single"/>
        </w:rPr>
        <w:t>Response:</w:t>
      </w:r>
    </w:p>
    <w:p w14:paraId="025F6FE8" w14:textId="77777777" w:rsidR="00B96834" w:rsidRDefault="00B96834" w:rsidP="00B96834">
      <w:pPr>
        <w:spacing w:after="120" w:line="259" w:lineRule="auto"/>
        <w:rPr>
          <w:bCs/>
          <w:sz w:val="24"/>
          <w:szCs w:val="24"/>
        </w:rPr>
      </w:pPr>
      <w:r>
        <w:rPr>
          <w:bCs/>
          <w:sz w:val="24"/>
          <w:szCs w:val="24"/>
        </w:rPr>
        <w:t>We update this:</w:t>
      </w:r>
    </w:p>
    <w:p w14:paraId="545E5C1B" w14:textId="3A4B0DED" w:rsidR="00B96834" w:rsidRDefault="00B96834" w:rsidP="00B96834">
      <w:pPr>
        <w:spacing w:after="120" w:line="259" w:lineRule="auto"/>
        <w:rPr>
          <w:bCs/>
          <w:sz w:val="24"/>
          <w:szCs w:val="24"/>
        </w:rPr>
      </w:pPr>
      <w:r w:rsidRPr="00FC77B4">
        <w:rPr>
          <w:bCs/>
          <w:sz w:val="24"/>
          <w:szCs w:val="24"/>
        </w:rPr>
        <w:drawing>
          <wp:inline distT="0" distB="0" distL="0" distR="0" wp14:anchorId="6C62162F" wp14:editId="4FEAC423">
            <wp:extent cx="5731510" cy="243078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30780"/>
                    </a:xfrm>
                    <a:prstGeom prst="rect">
                      <a:avLst/>
                    </a:prstGeom>
                  </pic:spPr>
                </pic:pic>
              </a:graphicData>
            </a:graphic>
          </wp:inline>
        </w:drawing>
      </w:r>
    </w:p>
    <w:p w14:paraId="63F88776" w14:textId="77777777" w:rsidR="00B96834" w:rsidRPr="00B96834" w:rsidRDefault="00B96834" w:rsidP="00B96834">
      <w:pPr>
        <w:spacing w:after="120" w:line="259" w:lineRule="auto"/>
        <w:rPr>
          <w:bCs/>
          <w:sz w:val="24"/>
          <w:szCs w:val="24"/>
        </w:rPr>
      </w:pPr>
    </w:p>
    <w:p w14:paraId="06A197DF" w14:textId="6E3CA912" w:rsidR="00B96834" w:rsidRPr="00B96834" w:rsidRDefault="00B96834" w:rsidP="00B96834">
      <w:pPr>
        <w:pStyle w:val="ListParagraph"/>
        <w:numPr>
          <w:ilvl w:val="0"/>
          <w:numId w:val="15"/>
        </w:numPr>
        <w:spacing w:after="120" w:line="259" w:lineRule="auto"/>
        <w:ind w:left="360"/>
        <w:rPr>
          <w:bCs/>
          <w:sz w:val="24"/>
          <w:szCs w:val="24"/>
        </w:rPr>
      </w:pPr>
      <w:r w:rsidRPr="00B96834">
        <w:rPr>
          <w:bCs/>
          <w:sz w:val="24"/>
          <w:szCs w:val="24"/>
        </w:rPr>
        <w:t>The discussion section, part of it is repeated in the results section.</w:t>
      </w:r>
    </w:p>
    <w:p w14:paraId="5D1A1903" w14:textId="77777777" w:rsidR="002C3EE2" w:rsidRDefault="002C3EE2" w:rsidP="00FC77B4">
      <w:pPr>
        <w:spacing w:after="120" w:line="259" w:lineRule="auto"/>
        <w:rPr>
          <w:bCs/>
          <w:sz w:val="24"/>
          <w:szCs w:val="24"/>
        </w:rPr>
      </w:pPr>
    </w:p>
    <w:p w14:paraId="4D043D5A" w14:textId="77777777" w:rsidR="002C3EE2" w:rsidRPr="00FC77B4" w:rsidRDefault="002C3EE2" w:rsidP="002C3EE2">
      <w:pPr>
        <w:spacing w:after="120" w:line="259" w:lineRule="auto"/>
        <w:rPr>
          <w:b/>
          <w:i/>
          <w:iCs/>
          <w:sz w:val="24"/>
          <w:szCs w:val="24"/>
          <w:u w:val="single"/>
        </w:rPr>
      </w:pPr>
      <w:r w:rsidRPr="00FC77B4">
        <w:rPr>
          <w:b/>
          <w:i/>
          <w:iCs/>
          <w:sz w:val="24"/>
          <w:szCs w:val="24"/>
          <w:u w:val="single"/>
        </w:rPr>
        <w:t>Response:</w:t>
      </w:r>
    </w:p>
    <w:p w14:paraId="36B27139" w14:textId="29054618" w:rsidR="002C3EE2" w:rsidRDefault="002C3EE2" w:rsidP="002C3EE2">
      <w:pPr>
        <w:spacing w:after="120" w:line="259" w:lineRule="auto"/>
        <w:rPr>
          <w:bCs/>
          <w:sz w:val="24"/>
          <w:szCs w:val="24"/>
        </w:rPr>
      </w:pPr>
      <w:r>
        <w:rPr>
          <w:bCs/>
          <w:sz w:val="24"/>
          <w:szCs w:val="24"/>
        </w:rPr>
        <w:t>We update this:</w:t>
      </w:r>
      <w:r>
        <w:rPr>
          <w:bCs/>
          <w:sz w:val="24"/>
          <w:szCs w:val="24"/>
        </w:rPr>
        <w:t xml:space="preserve"> (expand the discussion with theories, previous researches, and our argumentations.</w:t>
      </w:r>
    </w:p>
    <w:p w14:paraId="71058DAD" w14:textId="7D192200" w:rsidR="002C3EE2" w:rsidRDefault="002C3EE2" w:rsidP="00FC77B4">
      <w:pPr>
        <w:spacing w:after="120" w:line="259" w:lineRule="auto"/>
        <w:rPr>
          <w:bCs/>
          <w:sz w:val="24"/>
          <w:szCs w:val="24"/>
        </w:rPr>
      </w:pPr>
    </w:p>
    <w:p w14:paraId="483A5974" w14:textId="51735D50" w:rsidR="002C3EE2" w:rsidRDefault="002C3EE2" w:rsidP="00FC77B4">
      <w:pPr>
        <w:spacing w:after="120" w:line="259" w:lineRule="auto"/>
        <w:rPr>
          <w:bCs/>
          <w:sz w:val="24"/>
          <w:szCs w:val="24"/>
        </w:rPr>
      </w:pPr>
      <w:r w:rsidRPr="002C3EE2">
        <w:rPr>
          <w:bCs/>
          <w:sz w:val="24"/>
          <w:szCs w:val="24"/>
        </w:rPr>
        <w:drawing>
          <wp:inline distT="0" distB="0" distL="0" distR="0" wp14:anchorId="51CFB2EF" wp14:editId="20217B04">
            <wp:extent cx="5731510" cy="252285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22855"/>
                    </a:xfrm>
                    <a:prstGeom prst="rect">
                      <a:avLst/>
                    </a:prstGeom>
                  </pic:spPr>
                </pic:pic>
              </a:graphicData>
            </a:graphic>
          </wp:inline>
        </w:drawing>
      </w:r>
    </w:p>
    <w:p w14:paraId="7E9C2959" w14:textId="56FA9B95" w:rsidR="00CE05D2" w:rsidRPr="00FC77B4" w:rsidRDefault="008C325E" w:rsidP="00FC77B4">
      <w:pPr>
        <w:spacing w:after="120" w:line="259" w:lineRule="auto"/>
        <w:rPr>
          <w:bCs/>
          <w:sz w:val="24"/>
          <w:szCs w:val="24"/>
        </w:rPr>
      </w:pPr>
      <w:r w:rsidRPr="008C325E">
        <w:rPr>
          <w:bCs/>
          <w:sz w:val="24"/>
          <w:szCs w:val="24"/>
        </w:rPr>
        <w:drawing>
          <wp:inline distT="0" distB="0" distL="0" distR="0" wp14:anchorId="672F917F" wp14:editId="6C87A045">
            <wp:extent cx="5731510" cy="271081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710815"/>
                    </a:xfrm>
                    <a:prstGeom prst="rect">
                      <a:avLst/>
                    </a:prstGeom>
                  </pic:spPr>
                </pic:pic>
              </a:graphicData>
            </a:graphic>
          </wp:inline>
        </w:drawing>
      </w:r>
      <w:r w:rsidR="00CE05D2" w:rsidRPr="00FC77B4">
        <w:rPr>
          <w:bCs/>
          <w:sz w:val="24"/>
          <w:szCs w:val="24"/>
        </w:rPr>
        <w:br w:type="page"/>
      </w:r>
    </w:p>
    <w:p w14:paraId="3920E3C0" w14:textId="581BA92B" w:rsidR="0038175D" w:rsidRPr="00D77E32" w:rsidRDefault="0038175D" w:rsidP="007F7278">
      <w:pPr>
        <w:pStyle w:val="ListParagraph"/>
        <w:numPr>
          <w:ilvl w:val="0"/>
          <w:numId w:val="1"/>
        </w:numPr>
        <w:spacing w:before="4" w:line="257" w:lineRule="auto"/>
        <w:ind w:left="426" w:right="-64"/>
        <w:rPr>
          <w:b/>
          <w:sz w:val="36"/>
          <w:szCs w:val="36"/>
        </w:rPr>
      </w:pPr>
      <w:r w:rsidRPr="00D77E32">
        <w:rPr>
          <w:b/>
          <w:sz w:val="36"/>
          <w:szCs w:val="36"/>
        </w:rPr>
        <w:lastRenderedPageBreak/>
        <w:t xml:space="preserve">Bukti konfirmasi review dan hasil review </w:t>
      </w:r>
      <w:r w:rsidR="002A16F4" w:rsidRPr="00D77E32">
        <w:rPr>
          <w:b/>
          <w:sz w:val="36"/>
          <w:szCs w:val="36"/>
        </w:rPr>
        <w:t>kedua</w:t>
      </w:r>
      <w:r w:rsidRPr="00D77E32">
        <w:rPr>
          <w:b/>
          <w:sz w:val="36"/>
          <w:szCs w:val="36"/>
        </w:rPr>
        <w:t xml:space="preserve"> (</w:t>
      </w:r>
      <w:r w:rsidR="002A16F4" w:rsidRPr="00D77E32">
        <w:rPr>
          <w:b/>
          <w:sz w:val="36"/>
          <w:szCs w:val="36"/>
        </w:rPr>
        <w:t>3 Desember 2021</w:t>
      </w:r>
      <w:r w:rsidRPr="00D77E32">
        <w:rPr>
          <w:b/>
          <w:sz w:val="36"/>
          <w:szCs w:val="36"/>
        </w:rPr>
        <w:t>)</w:t>
      </w:r>
    </w:p>
    <w:p w14:paraId="31955528" w14:textId="19636D5A" w:rsidR="0038175D" w:rsidRDefault="0038175D" w:rsidP="0038175D">
      <w:pPr>
        <w:spacing w:before="4" w:line="257" w:lineRule="auto"/>
        <w:ind w:right="-64"/>
        <w:rPr>
          <w:b/>
          <w:sz w:val="44"/>
          <w:szCs w:val="44"/>
        </w:rPr>
      </w:pPr>
    </w:p>
    <w:p w14:paraId="1666C5BA" w14:textId="4C0CAF6B" w:rsidR="002418C6" w:rsidRDefault="002418C6" w:rsidP="0038175D">
      <w:pPr>
        <w:spacing w:before="4" w:line="257" w:lineRule="auto"/>
        <w:ind w:right="-64"/>
        <w:rPr>
          <w:b/>
          <w:sz w:val="44"/>
          <w:szCs w:val="44"/>
        </w:rPr>
      </w:pPr>
      <w:r w:rsidRPr="002418C6">
        <w:rPr>
          <w:b/>
          <w:sz w:val="44"/>
          <w:szCs w:val="44"/>
        </w:rPr>
        <w:drawing>
          <wp:inline distT="0" distB="0" distL="0" distR="0" wp14:anchorId="1DB266A7" wp14:editId="19D9891E">
            <wp:extent cx="5731510" cy="29089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908935"/>
                    </a:xfrm>
                    <a:prstGeom prst="rect">
                      <a:avLst/>
                    </a:prstGeom>
                  </pic:spPr>
                </pic:pic>
              </a:graphicData>
            </a:graphic>
          </wp:inline>
        </w:drawing>
      </w:r>
    </w:p>
    <w:p w14:paraId="1A3208CB" w14:textId="77777777" w:rsidR="0038175D" w:rsidRPr="0038175D" w:rsidRDefault="0038175D" w:rsidP="0038175D">
      <w:pPr>
        <w:spacing w:before="4" w:line="257" w:lineRule="auto"/>
        <w:ind w:right="-64"/>
        <w:rPr>
          <w:b/>
          <w:sz w:val="44"/>
          <w:szCs w:val="44"/>
        </w:rPr>
      </w:pPr>
    </w:p>
    <w:p w14:paraId="648A0B33" w14:textId="22EFCAAD" w:rsidR="002A16F4" w:rsidRPr="00D77E32" w:rsidRDefault="002A16F4" w:rsidP="007F7278">
      <w:pPr>
        <w:pStyle w:val="ListParagraph"/>
        <w:numPr>
          <w:ilvl w:val="0"/>
          <w:numId w:val="1"/>
        </w:numPr>
        <w:spacing w:before="4" w:line="257" w:lineRule="auto"/>
        <w:ind w:left="426" w:right="-64"/>
        <w:rPr>
          <w:b/>
          <w:sz w:val="36"/>
          <w:szCs w:val="36"/>
        </w:rPr>
      </w:pPr>
      <w:r w:rsidRPr="00D77E32">
        <w:rPr>
          <w:b/>
          <w:sz w:val="36"/>
          <w:szCs w:val="36"/>
        </w:rPr>
        <w:t>Bukti konfirmasi submit revisi pertama, respon kepada reviewer, dan artikel yang diresubmit (</w:t>
      </w:r>
      <w:r w:rsidRPr="00D77E32">
        <w:rPr>
          <w:b/>
          <w:sz w:val="36"/>
          <w:szCs w:val="36"/>
        </w:rPr>
        <w:t>5</w:t>
      </w:r>
      <w:r w:rsidRPr="00D77E32">
        <w:rPr>
          <w:b/>
          <w:sz w:val="36"/>
          <w:szCs w:val="36"/>
        </w:rPr>
        <w:t xml:space="preserve"> Desember 2021)</w:t>
      </w:r>
    </w:p>
    <w:p w14:paraId="1AE5A489" w14:textId="54482DFC" w:rsidR="002A16F4" w:rsidRDefault="002A16F4" w:rsidP="002A16F4">
      <w:pPr>
        <w:spacing w:before="4" w:line="257" w:lineRule="auto"/>
        <w:ind w:right="-64"/>
        <w:rPr>
          <w:b/>
          <w:sz w:val="44"/>
          <w:szCs w:val="44"/>
        </w:rPr>
      </w:pPr>
    </w:p>
    <w:p w14:paraId="701906DE" w14:textId="0F1D7D75" w:rsidR="00B06538" w:rsidRDefault="00B06538" w:rsidP="002A16F4">
      <w:pPr>
        <w:spacing w:before="4" w:line="257" w:lineRule="auto"/>
        <w:ind w:right="-64"/>
        <w:rPr>
          <w:b/>
          <w:sz w:val="44"/>
          <w:szCs w:val="44"/>
        </w:rPr>
      </w:pPr>
      <w:r w:rsidRPr="00B06538">
        <w:rPr>
          <w:b/>
          <w:sz w:val="44"/>
          <w:szCs w:val="44"/>
        </w:rPr>
        <w:drawing>
          <wp:inline distT="0" distB="0" distL="0" distR="0" wp14:anchorId="79629B63" wp14:editId="1B3F212B">
            <wp:extent cx="5731510" cy="29267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26715"/>
                    </a:xfrm>
                    <a:prstGeom prst="rect">
                      <a:avLst/>
                    </a:prstGeom>
                  </pic:spPr>
                </pic:pic>
              </a:graphicData>
            </a:graphic>
          </wp:inline>
        </w:drawing>
      </w:r>
    </w:p>
    <w:p w14:paraId="5EC4AD41" w14:textId="77777777" w:rsidR="002A16F4" w:rsidRPr="002A16F4" w:rsidRDefault="002A16F4" w:rsidP="002A16F4">
      <w:pPr>
        <w:spacing w:before="4" w:line="257" w:lineRule="auto"/>
        <w:ind w:right="-64"/>
        <w:rPr>
          <w:b/>
          <w:sz w:val="44"/>
          <w:szCs w:val="44"/>
        </w:rPr>
      </w:pPr>
    </w:p>
    <w:p w14:paraId="4489995C" w14:textId="3A8BC5D9" w:rsidR="007F7278" w:rsidRPr="003005AF" w:rsidRDefault="00E7099B" w:rsidP="007F7278">
      <w:pPr>
        <w:pStyle w:val="ListParagraph"/>
        <w:numPr>
          <w:ilvl w:val="0"/>
          <w:numId w:val="1"/>
        </w:numPr>
        <w:spacing w:before="4" w:line="257" w:lineRule="auto"/>
        <w:ind w:left="426" w:right="-64"/>
        <w:rPr>
          <w:b/>
          <w:sz w:val="36"/>
          <w:szCs w:val="36"/>
        </w:rPr>
      </w:pPr>
      <w:r w:rsidRPr="003005AF">
        <w:rPr>
          <w:b/>
          <w:sz w:val="36"/>
          <w:szCs w:val="36"/>
        </w:rPr>
        <w:lastRenderedPageBreak/>
        <w:t xml:space="preserve">Bukti Konfirmasi Artikel Accepted </w:t>
      </w:r>
      <w:r w:rsidR="00925037" w:rsidRPr="003005AF">
        <w:rPr>
          <w:b/>
          <w:sz w:val="36"/>
          <w:szCs w:val="36"/>
        </w:rPr>
        <w:t xml:space="preserve">serta masuk </w:t>
      </w:r>
      <w:r w:rsidR="00925037" w:rsidRPr="003005AF">
        <w:rPr>
          <w:b/>
          <w:sz w:val="36"/>
          <w:szCs w:val="36"/>
        </w:rPr>
        <w:t>tahap proofreading and editing</w:t>
      </w:r>
    </w:p>
    <w:p w14:paraId="4B382147" w14:textId="5D4B4768" w:rsidR="001446EA" w:rsidRPr="003005AF" w:rsidRDefault="007F7278" w:rsidP="007F7278">
      <w:pPr>
        <w:pStyle w:val="ListParagraph"/>
        <w:spacing w:before="4" w:line="257" w:lineRule="auto"/>
        <w:ind w:left="426" w:right="-64"/>
        <w:rPr>
          <w:b/>
          <w:sz w:val="36"/>
          <w:szCs w:val="36"/>
        </w:rPr>
      </w:pPr>
      <w:r w:rsidRPr="003005AF">
        <w:rPr>
          <w:b/>
          <w:sz w:val="36"/>
          <w:szCs w:val="36"/>
        </w:rPr>
        <w:t xml:space="preserve">  </w:t>
      </w:r>
      <w:r w:rsidR="00E7099B" w:rsidRPr="003005AF">
        <w:rPr>
          <w:b/>
          <w:sz w:val="36"/>
          <w:szCs w:val="36"/>
        </w:rPr>
        <w:t>(</w:t>
      </w:r>
      <w:r w:rsidR="00141D01" w:rsidRPr="003005AF">
        <w:rPr>
          <w:b/>
          <w:sz w:val="36"/>
          <w:szCs w:val="36"/>
        </w:rPr>
        <w:t>10 Januari 2022</w:t>
      </w:r>
      <w:r w:rsidR="00E7099B" w:rsidRPr="003005AF">
        <w:rPr>
          <w:b/>
          <w:sz w:val="36"/>
          <w:szCs w:val="36"/>
        </w:rPr>
        <w:t>)</w:t>
      </w:r>
    </w:p>
    <w:p w14:paraId="37CEF2B3" w14:textId="77777777" w:rsidR="007F7278" w:rsidRDefault="007F7278" w:rsidP="007F7278">
      <w:pPr>
        <w:pStyle w:val="ListParagraph"/>
        <w:spacing w:before="4" w:line="257" w:lineRule="auto"/>
        <w:ind w:left="426" w:right="-64"/>
        <w:jc w:val="center"/>
        <w:rPr>
          <w:b/>
          <w:sz w:val="44"/>
          <w:szCs w:val="44"/>
        </w:rPr>
      </w:pPr>
    </w:p>
    <w:p w14:paraId="2B14A48B" w14:textId="37EBEC82" w:rsidR="00E7099B" w:rsidRDefault="00332146" w:rsidP="007F7278">
      <w:pPr>
        <w:pStyle w:val="ListParagraph"/>
        <w:spacing w:before="4" w:line="257" w:lineRule="auto"/>
        <w:ind w:left="0" w:right="-64"/>
        <w:jc w:val="center"/>
        <w:rPr>
          <w:b/>
          <w:sz w:val="44"/>
          <w:szCs w:val="44"/>
        </w:rPr>
      </w:pPr>
      <w:r w:rsidRPr="00332146">
        <w:rPr>
          <w:b/>
          <w:sz w:val="44"/>
          <w:szCs w:val="44"/>
        </w:rPr>
        <w:drawing>
          <wp:inline distT="0" distB="0" distL="0" distR="0" wp14:anchorId="70DCF7E3" wp14:editId="22BF3C87">
            <wp:extent cx="5731510" cy="2921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921000"/>
                    </a:xfrm>
                    <a:prstGeom prst="rect">
                      <a:avLst/>
                    </a:prstGeom>
                  </pic:spPr>
                </pic:pic>
              </a:graphicData>
            </a:graphic>
          </wp:inline>
        </w:drawing>
      </w:r>
    </w:p>
    <w:p w14:paraId="15BE7DCD" w14:textId="74BCF309" w:rsidR="000B66A3" w:rsidRDefault="00925037" w:rsidP="007F7278">
      <w:pPr>
        <w:pStyle w:val="ListParagraph"/>
        <w:spacing w:before="4" w:line="257" w:lineRule="auto"/>
        <w:ind w:left="0" w:right="-64"/>
        <w:rPr>
          <w:b/>
          <w:sz w:val="44"/>
          <w:szCs w:val="44"/>
        </w:rPr>
      </w:pPr>
      <w:r w:rsidRPr="00321C12">
        <w:rPr>
          <w:b/>
          <w:sz w:val="44"/>
          <w:szCs w:val="44"/>
        </w:rPr>
        <w:drawing>
          <wp:inline distT="0" distB="0" distL="0" distR="0" wp14:anchorId="0FC4A679" wp14:editId="2DDCA32F">
            <wp:extent cx="5731510" cy="296862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968625"/>
                    </a:xfrm>
                    <a:prstGeom prst="rect">
                      <a:avLst/>
                    </a:prstGeom>
                  </pic:spPr>
                </pic:pic>
              </a:graphicData>
            </a:graphic>
          </wp:inline>
        </w:drawing>
      </w:r>
    </w:p>
    <w:p w14:paraId="02CA2565" w14:textId="69122264" w:rsidR="007F7278" w:rsidRDefault="004F12EB" w:rsidP="007F7278">
      <w:pPr>
        <w:spacing w:after="160" w:line="259" w:lineRule="auto"/>
        <w:ind w:right="-64"/>
        <w:rPr>
          <w:b/>
          <w:sz w:val="44"/>
          <w:szCs w:val="44"/>
        </w:rPr>
      </w:pPr>
      <w:r w:rsidRPr="004F12EB">
        <w:rPr>
          <w:b/>
          <w:sz w:val="44"/>
          <w:szCs w:val="44"/>
        </w:rPr>
        <w:lastRenderedPageBreak/>
        <w:drawing>
          <wp:inline distT="0" distB="0" distL="0" distR="0" wp14:anchorId="05439A0C" wp14:editId="0D797FA0">
            <wp:extent cx="5731510" cy="29152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915285"/>
                    </a:xfrm>
                    <a:prstGeom prst="rect">
                      <a:avLst/>
                    </a:prstGeom>
                  </pic:spPr>
                </pic:pic>
              </a:graphicData>
            </a:graphic>
          </wp:inline>
        </w:drawing>
      </w:r>
      <w:r w:rsidRPr="004F12EB">
        <w:rPr>
          <w:b/>
          <w:sz w:val="44"/>
          <w:szCs w:val="44"/>
        </w:rPr>
        <w:t xml:space="preserve"> </w:t>
      </w:r>
    </w:p>
    <w:p w14:paraId="622FFD67" w14:textId="77777777" w:rsidR="00655202" w:rsidRDefault="00655202" w:rsidP="00655202">
      <w:pPr>
        <w:spacing w:after="120" w:line="259" w:lineRule="auto"/>
        <w:rPr>
          <w:b/>
          <w:i/>
          <w:iCs/>
          <w:sz w:val="24"/>
          <w:szCs w:val="24"/>
          <w:u w:val="single"/>
        </w:rPr>
      </w:pPr>
    </w:p>
    <w:p w14:paraId="743BCB03" w14:textId="77777777" w:rsidR="00655202" w:rsidRDefault="00655202" w:rsidP="00655202">
      <w:pPr>
        <w:spacing w:after="120" w:line="259" w:lineRule="auto"/>
        <w:rPr>
          <w:b/>
          <w:i/>
          <w:iCs/>
          <w:sz w:val="24"/>
          <w:szCs w:val="24"/>
          <w:u w:val="single"/>
        </w:rPr>
      </w:pPr>
    </w:p>
    <w:p w14:paraId="0C373160" w14:textId="388B3A02" w:rsidR="00655202" w:rsidRPr="00FC77B4" w:rsidRDefault="00655202" w:rsidP="00655202">
      <w:pPr>
        <w:spacing w:after="120" w:line="259" w:lineRule="auto"/>
        <w:rPr>
          <w:b/>
          <w:i/>
          <w:iCs/>
          <w:sz w:val="24"/>
          <w:szCs w:val="24"/>
          <w:u w:val="single"/>
        </w:rPr>
      </w:pPr>
      <w:r>
        <w:rPr>
          <w:b/>
          <w:i/>
          <w:iCs/>
          <w:sz w:val="24"/>
          <w:szCs w:val="24"/>
          <w:u w:val="single"/>
        </w:rPr>
        <w:t>Result of Proofreading and editing process</w:t>
      </w:r>
      <w:r w:rsidRPr="00FC77B4">
        <w:rPr>
          <w:b/>
          <w:i/>
          <w:iCs/>
          <w:sz w:val="24"/>
          <w:szCs w:val="24"/>
          <w:u w:val="single"/>
        </w:rPr>
        <w:t>:</w:t>
      </w:r>
    </w:p>
    <w:p w14:paraId="298F4D43" w14:textId="4B44FA69" w:rsidR="00655202" w:rsidRDefault="00655202" w:rsidP="007F7278">
      <w:pPr>
        <w:spacing w:after="160" w:line="259" w:lineRule="auto"/>
        <w:ind w:right="-64"/>
        <w:rPr>
          <w:b/>
          <w:sz w:val="44"/>
          <w:szCs w:val="44"/>
        </w:rPr>
      </w:pPr>
      <w:r w:rsidRPr="00655202">
        <w:rPr>
          <w:b/>
          <w:sz w:val="44"/>
          <w:szCs w:val="44"/>
        </w:rPr>
        <w:drawing>
          <wp:inline distT="0" distB="0" distL="0" distR="0" wp14:anchorId="30477CE4" wp14:editId="1C414F62">
            <wp:extent cx="5731510" cy="32131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213100"/>
                    </a:xfrm>
                    <a:prstGeom prst="rect">
                      <a:avLst/>
                    </a:prstGeom>
                  </pic:spPr>
                </pic:pic>
              </a:graphicData>
            </a:graphic>
          </wp:inline>
        </w:drawing>
      </w:r>
    </w:p>
    <w:p w14:paraId="7823EEB3" w14:textId="503D29E1" w:rsidR="00141D01" w:rsidRDefault="00141D01" w:rsidP="00141D01">
      <w:pPr>
        <w:spacing w:before="4" w:line="257" w:lineRule="auto"/>
        <w:ind w:right="-64"/>
        <w:rPr>
          <w:b/>
          <w:sz w:val="44"/>
          <w:szCs w:val="44"/>
        </w:rPr>
      </w:pPr>
    </w:p>
    <w:p w14:paraId="557C7DB2" w14:textId="23EEF127" w:rsidR="00655202" w:rsidRDefault="00655202" w:rsidP="00141D01">
      <w:pPr>
        <w:spacing w:before="4" w:line="257" w:lineRule="auto"/>
        <w:ind w:right="-64"/>
        <w:rPr>
          <w:b/>
          <w:sz w:val="44"/>
          <w:szCs w:val="44"/>
        </w:rPr>
      </w:pPr>
    </w:p>
    <w:p w14:paraId="20A636B1" w14:textId="238CEFC1" w:rsidR="00655202" w:rsidRDefault="00655202" w:rsidP="00141D01">
      <w:pPr>
        <w:spacing w:before="4" w:line="257" w:lineRule="auto"/>
        <w:ind w:right="-64"/>
        <w:rPr>
          <w:b/>
          <w:sz w:val="44"/>
          <w:szCs w:val="44"/>
        </w:rPr>
      </w:pPr>
    </w:p>
    <w:p w14:paraId="70D69594" w14:textId="77777777" w:rsidR="00655202" w:rsidRPr="00141D01" w:rsidRDefault="00655202" w:rsidP="00141D01">
      <w:pPr>
        <w:spacing w:before="4" w:line="257" w:lineRule="auto"/>
        <w:ind w:right="-64"/>
        <w:rPr>
          <w:b/>
          <w:sz w:val="44"/>
          <w:szCs w:val="44"/>
        </w:rPr>
      </w:pPr>
    </w:p>
    <w:p w14:paraId="5C83371D" w14:textId="6CBFA4CB" w:rsidR="00141D01" w:rsidRPr="00A57F1D" w:rsidRDefault="00141D01" w:rsidP="007F7278">
      <w:pPr>
        <w:pStyle w:val="ListParagraph"/>
        <w:numPr>
          <w:ilvl w:val="0"/>
          <w:numId w:val="1"/>
        </w:numPr>
        <w:spacing w:before="4" w:line="257" w:lineRule="auto"/>
        <w:ind w:left="426" w:right="-64"/>
        <w:rPr>
          <w:b/>
          <w:sz w:val="36"/>
          <w:szCs w:val="36"/>
        </w:rPr>
      </w:pPr>
      <w:r w:rsidRPr="00A57F1D">
        <w:rPr>
          <w:b/>
          <w:sz w:val="36"/>
          <w:szCs w:val="36"/>
        </w:rPr>
        <w:lastRenderedPageBreak/>
        <w:t>Bukti konfirmasi artikel tahap produksi published online</w:t>
      </w:r>
      <w:r w:rsidRPr="00A57F1D">
        <w:rPr>
          <w:b/>
          <w:sz w:val="36"/>
          <w:szCs w:val="36"/>
        </w:rPr>
        <w:t xml:space="preserve"> (</w:t>
      </w:r>
      <w:r w:rsidRPr="00A57F1D">
        <w:rPr>
          <w:b/>
          <w:sz w:val="36"/>
          <w:szCs w:val="36"/>
        </w:rPr>
        <w:t>27 Juni 2022</w:t>
      </w:r>
      <w:r w:rsidRPr="00A57F1D">
        <w:rPr>
          <w:b/>
          <w:sz w:val="36"/>
          <w:szCs w:val="36"/>
        </w:rPr>
        <w:t>)</w:t>
      </w:r>
    </w:p>
    <w:p w14:paraId="4CABE6B3" w14:textId="0679B2ED" w:rsidR="00141D01" w:rsidRDefault="00141D01" w:rsidP="00141D01">
      <w:pPr>
        <w:spacing w:before="4" w:line="257" w:lineRule="auto"/>
        <w:ind w:right="-64"/>
        <w:rPr>
          <w:b/>
          <w:sz w:val="44"/>
          <w:szCs w:val="44"/>
        </w:rPr>
      </w:pPr>
    </w:p>
    <w:p w14:paraId="05D1D477" w14:textId="5EAD8306" w:rsidR="00925037" w:rsidRDefault="00EB7731" w:rsidP="00141D01">
      <w:pPr>
        <w:spacing w:before="4" w:line="257" w:lineRule="auto"/>
        <w:ind w:right="-64"/>
        <w:rPr>
          <w:b/>
          <w:sz w:val="44"/>
          <w:szCs w:val="44"/>
        </w:rPr>
      </w:pPr>
      <w:r w:rsidRPr="00EB7731">
        <w:rPr>
          <w:b/>
          <w:sz w:val="44"/>
          <w:szCs w:val="44"/>
        </w:rPr>
        <w:drawing>
          <wp:inline distT="0" distB="0" distL="0" distR="0" wp14:anchorId="418858E4" wp14:editId="7C7B6500">
            <wp:extent cx="5731510" cy="292671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926715"/>
                    </a:xfrm>
                    <a:prstGeom prst="rect">
                      <a:avLst/>
                    </a:prstGeom>
                  </pic:spPr>
                </pic:pic>
              </a:graphicData>
            </a:graphic>
          </wp:inline>
        </w:drawing>
      </w:r>
    </w:p>
    <w:p w14:paraId="09DC03D5" w14:textId="5ADF7E87" w:rsidR="00141D01" w:rsidRDefault="00141D01" w:rsidP="00141D01">
      <w:pPr>
        <w:spacing w:before="4" w:line="257" w:lineRule="auto"/>
        <w:ind w:right="-64"/>
        <w:rPr>
          <w:b/>
          <w:sz w:val="44"/>
          <w:szCs w:val="44"/>
        </w:rPr>
      </w:pPr>
    </w:p>
    <w:p w14:paraId="3AA6EE33" w14:textId="77777777" w:rsidR="00A57F1D" w:rsidRPr="00141D01" w:rsidRDefault="00A57F1D" w:rsidP="00141D01">
      <w:pPr>
        <w:spacing w:before="4" w:line="257" w:lineRule="auto"/>
        <w:ind w:right="-64"/>
        <w:rPr>
          <w:b/>
          <w:sz w:val="44"/>
          <w:szCs w:val="44"/>
        </w:rPr>
      </w:pPr>
    </w:p>
    <w:p w14:paraId="2FA1485F" w14:textId="4C71C2FD" w:rsidR="00E7099B" w:rsidRPr="00A57F1D" w:rsidRDefault="00E7099B" w:rsidP="007F7278">
      <w:pPr>
        <w:pStyle w:val="ListParagraph"/>
        <w:numPr>
          <w:ilvl w:val="0"/>
          <w:numId w:val="1"/>
        </w:numPr>
        <w:spacing w:before="4" w:line="257" w:lineRule="auto"/>
        <w:ind w:left="426" w:right="-64"/>
        <w:rPr>
          <w:b/>
          <w:sz w:val="36"/>
          <w:szCs w:val="36"/>
        </w:rPr>
      </w:pPr>
      <w:r w:rsidRPr="00A57F1D">
        <w:rPr>
          <w:b/>
          <w:sz w:val="36"/>
          <w:szCs w:val="36"/>
        </w:rPr>
        <w:t>Bukti Konfirmasi Terbit Online</w:t>
      </w:r>
      <w:r w:rsidR="0067022D" w:rsidRPr="00A57F1D">
        <w:rPr>
          <w:b/>
          <w:sz w:val="36"/>
          <w:szCs w:val="36"/>
        </w:rPr>
        <w:t xml:space="preserve"> (</w:t>
      </w:r>
      <w:r w:rsidR="0067022D" w:rsidRPr="00A57F1D">
        <w:rPr>
          <w:b/>
          <w:sz w:val="36"/>
          <w:szCs w:val="36"/>
        </w:rPr>
        <w:t>30 Juni 2022</w:t>
      </w:r>
      <w:r w:rsidR="0067022D" w:rsidRPr="00A57F1D">
        <w:rPr>
          <w:b/>
          <w:sz w:val="36"/>
          <w:szCs w:val="36"/>
        </w:rPr>
        <w:t>)</w:t>
      </w:r>
    </w:p>
    <w:p w14:paraId="5CF1EAF9" w14:textId="77777777" w:rsidR="000B66A3" w:rsidRDefault="000B66A3" w:rsidP="00DD773E">
      <w:pPr>
        <w:pStyle w:val="ListParagraph"/>
        <w:spacing w:before="4" w:line="257" w:lineRule="auto"/>
        <w:ind w:left="426" w:right="-64"/>
        <w:rPr>
          <w:b/>
          <w:sz w:val="44"/>
          <w:szCs w:val="44"/>
        </w:rPr>
      </w:pPr>
    </w:p>
    <w:p w14:paraId="4215D7D0" w14:textId="74377200" w:rsidR="00E7099B" w:rsidRPr="007F7278" w:rsidRDefault="00F3220A" w:rsidP="00DD773E">
      <w:pPr>
        <w:spacing w:before="4" w:line="257" w:lineRule="auto"/>
        <w:ind w:right="-64"/>
        <w:rPr>
          <w:b/>
          <w:sz w:val="44"/>
          <w:szCs w:val="44"/>
        </w:rPr>
      </w:pPr>
      <w:r w:rsidRPr="00F3220A">
        <w:rPr>
          <w:b/>
          <w:sz w:val="44"/>
          <w:szCs w:val="44"/>
        </w:rPr>
        <w:drawing>
          <wp:inline distT="0" distB="0" distL="0" distR="0" wp14:anchorId="0E1D58D3" wp14:editId="3E1C11D2">
            <wp:extent cx="5731510" cy="29616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961640"/>
                    </a:xfrm>
                    <a:prstGeom prst="rect">
                      <a:avLst/>
                    </a:prstGeom>
                  </pic:spPr>
                </pic:pic>
              </a:graphicData>
            </a:graphic>
          </wp:inline>
        </w:drawing>
      </w:r>
    </w:p>
    <w:p w14:paraId="1C8A3FE2" w14:textId="7EC172C7" w:rsidR="000B66A3" w:rsidRDefault="000B66A3" w:rsidP="00DD773E">
      <w:pPr>
        <w:pStyle w:val="ListParagraph"/>
        <w:spacing w:before="4" w:line="257" w:lineRule="auto"/>
        <w:ind w:left="426" w:right="-64"/>
        <w:rPr>
          <w:b/>
          <w:sz w:val="44"/>
          <w:szCs w:val="44"/>
        </w:rPr>
      </w:pPr>
    </w:p>
    <w:p w14:paraId="43618559" w14:textId="5D5F901E" w:rsidR="0044391C" w:rsidRPr="0038442D" w:rsidRDefault="0044391C" w:rsidP="00DD773E">
      <w:pPr>
        <w:pStyle w:val="ListParagraph"/>
        <w:spacing w:before="4" w:line="257" w:lineRule="auto"/>
        <w:ind w:left="0" w:right="-64"/>
        <w:rPr>
          <w:b/>
          <w:sz w:val="44"/>
          <w:szCs w:val="44"/>
        </w:rPr>
      </w:pPr>
    </w:p>
    <w:sectPr w:rsidR="0044391C" w:rsidRPr="0038442D" w:rsidSect="000463B8">
      <w:headerReference w:type="default" r:id="rId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96B1" w14:textId="77777777" w:rsidR="00BD35BF" w:rsidRDefault="00BD35BF" w:rsidP="00E9012F">
      <w:r>
        <w:separator/>
      </w:r>
    </w:p>
  </w:endnote>
  <w:endnote w:type="continuationSeparator" w:id="0">
    <w:p w14:paraId="378B1176" w14:textId="77777777" w:rsidR="00BD35BF" w:rsidRDefault="00BD35BF" w:rsidP="00E9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F1A16" w14:textId="77777777" w:rsidR="00BD35BF" w:rsidRDefault="00BD35BF" w:rsidP="00E9012F">
      <w:r>
        <w:separator/>
      </w:r>
    </w:p>
  </w:footnote>
  <w:footnote w:type="continuationSeparator" w:id="0">
    <w:p w14:paraId="161904DB" w14:textId="77777777" w:rsidR="00BD35BF" w:rsidRDefault="00BD35BF" w:rsidP="00E90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9119" w14:textId="77777777" w:rsidR="00E9012F" w:rsidRDefault="00E90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E6A2" w14:textId="77777777" w:rsidR="00AD23CC" w:rsidRDefault="00AD2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22AF"/>
    <w:multiLevelType w:val="hybridMultilevel"/>
    <w:tmpl w:val="6D1E8E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A11442F"/>
    <w:multiLevelType w:val="hybridMultilevel"/>
    <w:tmpl w:val="197E7E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27A10C77"/>
    <w:multiLevelType w:val="hybridMultilevel"/>
    <w:tmpl w:val="CB58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02B54"/>
    <w:multiLevelType w:val="hybridMultilevel"/>
    <w:tmpl w:val="558A0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8CA6C5A"/>
    <w:multiLevelType w:val="hybridMultilevel"/>
    <w:tmpl w:val="8270A5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C5B1F52"/>
    <w:multiLevelType w:val="hybridMultilevel"/>
    <w:tmpl w:val="558A05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7" w15:restartNumberingAfterBreak="0">
    <w:nsid w:val="44DB55FF"/>
    <w:multiLevelType w:val="hybridMultilevel"/>
    <w:tmpl w:val="998280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494633B1"/>
    <w:multiLevelType w:val="hybridMultilevel"/>
    <w:tmpl w:val="6888C5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1A56493"/>
    <w:multiLevelType w:val="hybridMultilevel"/>
    <w:tmpl w:val="4F4200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584F13ED"/>
    <w:multiLevelType w:val="hybridMultilevel"/>
    <w:tmpl w:val="1C1E1596"/>
    <w:lvl w:ilvl="0" w:tplc="04210001">
      <w:start w:val="1"/>
      <w:numFmt w:val="bullet"/>
      <w:lvlText w:val=""/>
      <w:lvlJc w:val="left"/>
      <w:pPr>
        <w:ind w:left="720" w:hanging="360"/>
      </w:pPr>
      <w:rPr>
        <w:rFonts w:ascii="Symbol" w:hAnsi="Symbol" w:cs="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cs="Wingdings" w:hint="default"/>
      </w:rPr>
    </w:lvl>
    <w:lvl w:ilvl="3" w:tplc="04210001" w:tentative="1">
      <w:start w:val="1"/>
      <w:numFmt w:val="bullet"/>
      <w:lvlText w:val=""/>
      <w:lvlJc w:val="left"/>
      <w:pPr>
        <w:ind w:left="2880" w:hanging="360"/>
      </w:pPr>
      <w:rPr>
        <w:rFonts w:ascii="Symbol" w:hAnsi="Symbol" w:cs="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cs="Wingdings" w:hint="default"/>
      </w:rPr>
    </w:lvl>
    <w:lvl w:ilvl="6" w:tplc="04210001" w:tentative="1">
      <w:start w:val="1"/>
      <w:numFmt w:val="bullet"/>
      <w:lvlText w:val=""/>
      <w:lvlJc w:val="left"/>
      <w:pPr>
        <w:ind w:left="5040" w:hanging="360"/>
      </w:pPr>
      <w:rPr>
        <w:rFonts w:ascii="Symbol" w:hAnsi="Symbol" w:cs="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6324E9C"/>
    <w:multiLevelType w:val="hybridMultilevel"/>
    <w:tmpl w:val="6888C5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4C1564E"/>
    <w:multiLevelType w:val="hybridMultilevel"/>
    <w:tmpl w:val="8270A5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78786057"/>
    <w:multiLevelType w:val="hybridMultilevel"/>
    <w:tmpl w:val="F1E43CD2"/>
    <w:lvl w:ilvl="0" w:tplc="FE824CD4">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7AF678B2"/>
    <w:multiLevelType w:val="hybridMultilevel"/>
    <w:tmpl w:val="51907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4"/>
  </w:num>
  <w:num w:numId="5">
    <w:abstractNumId w:val="3"/>
  </w:num>
  <w:num w:numId="6">
    <w:abstractNumId w:val="11"/>
  </w:num>
  <w:num w:numId="7">
    <w:abstractNumId w:val="10"/>
  </w:num>
  <w:num w:numId="8">
    <w:abstractNumId w:val="14"/>
  </w:num>
  <w:num w:numId="9">
    <w:abstractNumId w:val="12"/>
  </w:num>
  <w:num w:numId="10">
    <w:abstractNumId w:val="5"/>
  </w:num>
  <w:num w:numId="11">
    <w:abstractNumId w:val="8"/>
  </w:num>
  <w:num w:numId="12">
    <w:abstractNumId w:val="7"/>
  </w:num>
  <w:num w:numId="13">
    <w:abstractNumId w:val="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3084A"/>
    <w:rsid w:val="000463B8"/>
    <w:rsid w:val="000465BA"/>
    <w:rsid w:val="00061164"/>
    <w:rsid w:val="0009265E"/>
    <w:rsid w:val="000B62D5"/>
    <w:rsid w:val="000B66A3"/>
    <w:rsid w:val="000C43F1"/>
    <w:rsid w:val="000E2C2F"/>
    <w:rsid w:val="00141D01"/>
    <w:rsid w:val="001446EA"/>
    <w:rsid w:val="00151F58"/>
    <w:rsid w:val="001B709A"/>
    <w:rsid w:val="001D5105"/>
    <w:rsid w:val="001E4302"/>
    <w:rsid w:val="002050C7"/>
    <w:rsid w:val="0021081E"/>
    <w:rsid w:val="0022497A"/>
    <w:rsid w:val="002418C6"/>
    <w:rsid w:val="0025135B"/>
    <w:rsid w:val="00252F73"/>
    <w:rsid w:val="002577EC"/>
    <w:rsid w:val="00294649"/>
    <w:rsid w:val="002A16F4"/>
    <w:rsid w:val="002B7A84"/>
    <w:rsid w:val="002C3EE2"/>
    <w:rsid w:val="002C659D"/>
    <w:rsid w:val="002C7B1F"/>
    <w:rsid w:val="002E4D4B"/>
    <w:rsid w:val="002F2EB4"/>
    <w:rsid w:val="003005AF"/>
    <w:rsid w:val="0030397B"/>
    <w:rsid w:val="00311EAD"/>
    <w:rsid w:val="00321C12"/>
    <w:rsid w:val="00332146"/>
    <w:rsid w:val="00362CDF"/>
    <w:rsid w:val="0038175D"/>
    <w:rsid w:val="0038442D"/>
    <w:rsid w:val="003D642D"/>
    <w:rsid w:val="003F54C4"/>
    <w:rsid w:val="00404CAD"/>
    <w:rsid w:val="0044391C"/>
    <w:rsid w:val="004557B6"/>
    <w:rsid w:val="00455F27"/>
    <w:rsid w:val="004E0EE6"/>
    <w:rsid w:val="004F12EB"/>
    <w:rsid w:val="005221BB"/>
    <w:rsid w:val="005520DD"/>
    <w:rsid w:val="00574D4F"/>
    <w:rsid w:val="00597887"/>
    <w:rsid w:val="00597C98"/>
    <w:rsid w:val="005A2567"/>
    <w:rsid w:val="005A6C76"/>
    <w:rsid w:val="005B1C23"/>
    <w:rsid w:val="005D5C82"/>
    <w:rsid w:val="00655202"/>
    <w:rsid w:val="0067022D"/>
    <w:rsid w:val="00673646"/>
    <w:rsid w:val="006A3F4F"/>
    <w:rsid w:val="006C20DA"/>
    <w:rsid w:val="006C3B44"/>
    <w:rsid w:val="006E4F72"/>
    <w:rsid w:val="006F7F26"/>
    <w:rsid w:val="0070768A"/>
    <w:rsid w:val="00713B2D"/>
    <w:rsid w:val="00796CF5"/>
    <w:rsid w:val="007F26C9"/>
    <w:rsid w:val="007F7278"/>
    <w:rsid w:val="008175B0"/>
    <w:rsid w:val="0084226A"/>
    <w:rsid w:val="00862D00"/>
    <w:rsid w:val="00884334"/>
    <w:rsid w:val="008A2232"/>
    <w:rsid w:val="008B1EF8"/>
    <w:rsid w:val="008C325E"/>
    <w:rsid w:val="008E1E73"/>
    <w:rsid w:val="008F53C1"/>
    <w:rsid w:val="009233DB"/>
    <w:rsid w:val="00925037"/>
    <w:rsid w:val="00944092"/>
    <w:rsid w:val="00977DFB"/>
    <w:rsid w:val="00997094"/>
    <w:rsid w:val="009C2F1A"/>
    <w:rsid w:val="009D28F5"/>
    <w:rsid w:val="009F52FF"/>
    <w:rsid w:val="00A57BDF"/>
    <w:rsid w:val="00A57F1D"/>
    <w:rsid w:val="00A819E9"/>
    <w:rsid w:val="00A83E9A"/>
    <w:rsid w:val="00AC2543"/>
    <w:rsid w:val="00AD23CC"/>
    <w:rsid w:val="00AE0AFB"/>
    <w:rsid w:val="00B06538"/>
    <w:rsid w:val="00B33567"/>
    <w:rsid w:val="00B96834"/>
    <w:rsid w:val="00BC1AE1"/>
    <w:rsid w:val="00BD35BF"/>
    <w:rsid w:val="00BD48E1"/>
    <w:rsid w:val="00C345C7"/>
    <w:rsid w:val="00C45150"/>
    <w:rsid w:val="00CA5F3B"/>
    <w:rsid w:val="00CC3D0C"/>
    <w:rsid w:val="00CE05D2"/>
    <w:rsid w:val="00D740B1"/>
    <w:rsid w:val="00D77E32"/>
    <w:rsid w:val="00D8073E"/>
    <w:rsid w:val="00D83CD8"/>
    <w:rsid w:val="00D8550B"/>
    <w:rsid w:val="00DC3173"/>
    <w:rsid w:val="00DD33AE"/>
    <w:rsid w:val="00DD773E"/>
    <w:rsid w:val="00E515EE"/>
    <w:rsid w:val="00E7099B"/>
    <w:rsid w:val="00E9012F"/>
    <w:rsid w:val="00EA6C50"/>
    <w:rsid w:val="00EB7731"/>
    <w:rsid w:val="00EC0B2B"/>
    <w:rsid w:val="00F11116"/>
    <w:rsid w:val="00F3220A"/>
    <w:rsid w:val="00F37279"/>
    <w:rsid w:val="00FA2932"/>
    <w:rsid w:val="00FC3979"/>
    <w:rsid w:val="00FC77B4"/>
    <w:rsid w:val="00FD39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paragraph" w:styleId="Header">
    <w:name w:val="header"/>
    <w:basedOn w:val="Normal"/>
    <w:link w:val="HeaderChar"/>
    <w:uiPriority w:val="99"/>
    <w:unhideWhenUsed/>
    <w:rsid w:val="00E9012F"/>
    <w:pPr>
      <w:tabs>
        <w:tab w:val="center" w:pos="4680"/>
        <w:tab w:val="right" w:pos="9360"/>
      </w:tabs>
    </w:pPr>
  </w:style>
  <w:style w:type="character" w:customStyle="1" w:styleId="HeaderChar">
    <w:name w:val="Header Char"/>
    <w:basedOn w:val="DefaultParagraphFont"/>
    <w:link w:val="Header"/>
    <w:uiPriority w:val="99"/>
    <w:rsid w:val="00E9012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9012F"/>
    <w:pPr>
      <w:tabs>
        <w:tab w:val="center" w:pos="4680"/>
        <w:tab w:val="right" w:pos="9360"/>
      </w:tabs>
    </w:pPr>
  </w:style>
  <w:style w:type="character" w:customStyle="1" w:styleId="FooterChar">
    <w:name w:val="Footer Char"/>
    <w:basedOn w:val="DefaultParagraphFont"/>
    <w:link w:val="Footer"/>
    <w:uiPriority w:val="99"/>
    <w:rsid w:val="00E9012F"/>
    <w:rPr>
      <w:rFonts w:ascii="Times New Roman" w:eastAsia="Times New Roman" w:hAnsi="Times New Roman" w:cs="Times New Roman"/>
      <w:sz w:val="20"/>
      <w:szCs w:val="20"/>
    </w:rPr>
  </w:style>
  <w:style w:type="character" w:styleId="PageNumber">
    <w:name w:val="page number"/>
    <w:basedOn w:val="DefaultParagraphFont"/>
    <w:uiPriority w:val="99"/>
    <w:rsid w:val="00E9012F"/>
    <w:rPr>
      <w:rFonts w:cs="Times New Roman"/>
    </w:rPr>
  </w:style>
  <w:style w:type="numbering" w:customStyle="1" w:styleId="NoList1">
    <w:name w:val="No List1"/>
    <w:next w:val="NoList"/>
    <w:uiPriority w:val="99"/>
    <w:semiHidden/>
    <w:unhideWhenUsed/>
    <w:rsid w:val="00AD2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584758">
      <w:bodyDiv w:val="1"/>
      <w:marLeft w:val="0"/>
      <w:marRight w:val="0"/>
      <w:marTop w:val="0"/>
      <w:marBottom w:val="0"/>
      <w:divBdr>
        <w:top w:val="none" w:sz="0" w:space="0" w:color="auto"/>
        <w:left w:val="none" w:sz="0" w:space="0" w:color="auto"/>
        <w:bottom w:val="none" w:sz="0" w:space="0" w:color="auto"/>
        <w:right w:val="none" w:sz="0" w:space="0" w:color="auto"/>
      </w:divBdr>
    </w:div>
    <w:div w:id="1010595659">
      <w:bodyDiv w:val="1"/>
      <w:marLeft w:val="0"/>
      <w:marRight w:val="0"/>
      <w:marTop w:val="0"/>
      <w:marBottom w:val="0"/>
      <w:divBdr>
        <w:top w:val="none" w:sz="0" w:space="0" w:color="auto"/>
        <w:left w:val="none" w:sz="0" w:space="0" w:color="auto"/>
        <w:bottom w:val="none" w:sz="0" w:space="0" w:color="auto"/>
        <w:right w:val="none" w:sz="0" w:space="0" w:color="auto"/>
      </w:divBdr>
    </w:div>
    <w:div w:id="161220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microsoft.com/office/2007/relationships/hdphoto" Target="media/hdphoto7.wdp"/><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34</Pages>
  <Words>49884</Words>
  <Characters>284343</Characters>
  <Application>Microsoft Office Word</Application>
  <DocSecurity>0</DocSecurity>
  <Lines>2369</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mas gaguk</cp:lastModifiedBy>
  <cp:revision>124</cp:revision>
  <dcterms:created xsi:type="dcterms:W3CDTF">2024-06-14T02:23:00Z</dcterms:created>
  <dcterms:modified xsi:type="dcterms:W3CDTF">2024-10-30T02:49:00Z</dcterms:modified>
</cp:coreProperties>
</file>