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24" w:rsidRPr="00DC1DCC" w:rsidRDefault="00DC1DCC" w:rsidP="00DC1DCC">
      <w:pPr>
        <w:spacing w:after="0" w:line="360" w:lineRule="auto"/>
        <w:jc w:val="center"/>
        <w:rPr>
          <w:b/>
          <w:sz w:val="24"/>
          <w:szCs w:val="24"/>
        </w:rPr>
      </w:pPr>
      <w:r w:rsidRPr="00DC1DCC">
        <w:rPr>
          <w:b/>
          <w:sz w:val="24"/>
          <w:szCs w:val="24"/>
        </w:rPr>
        <w:t>BUKTI KORESPONDENSI</w:t>
      </w:r>
    </w:p>
    <w:p w:rsidR="00DC1DCC" w:rsidRPr="00DC1DCC" w:rsidRDefault="002C4203" w:rsidP="00DC1DCC">
      <w:pPr>
        <w:spacing w:after="0" w:line="360" w:lineRule="auto"/>
        <w:jc w:val="center"/>
        <w:rPr>
          <w:b/>
          <w:sz w:val="24"/>
          <w:szCs w:val="24"/>
        </w:rPr>
      </w:pPr>
      <w:r>
        <w:rPr>
          <w:b/>
          <w:sz w:val="24"/>
          <w:szCs w:val="24"/>
        </w:rPr>
        <w:t>ARTIKEL JURN</w:t>
      </w:r>
      <w:r w:rsidR="00DC1DCC" w:rsidRPr="00DC1DCC">
        <w:rPr>
          <w:b/>
          <w:sz w:val="24"/>
          <w:szCs w:val="24"/>
        </w:rPr>
        <w:t>AL NASIONAL TERAKREDITASI</w:t>
      </w:r>
    </w:p>
    <w:p w:rsidR="00DC1DCC" w:rsidRPr="00DC1DCC" w:rsidRDefault="00DC1DCC" w:rsidP="00DC1DCC">
      <w:pPr>
        <w:spacing w:after="0" w:line="360" w:lineRule="auto"/>
        <w:rPr>
          <w:sz w:val="24"/>
          <w:szCs w:val="24"/>
        </w:rPr>
      </w:pPr>
    </w:p>
    <w:p w:rsidR="00DC1DCC" w:rsidRDefault="00DC1DCC" w:rsidP="00DC1DCC">
      <w:pPr>
        <w:spacing w:after="0" w:line="360" w:lineRule="auto"/>
        <w:rPr>
          <w:sz w:val="24"/>
          <w:szCs w:val="24"/>
        </w:rPr>
      </w:pPr>
      <w:r>
        <w:rPr>
          <w:sz w:val="24"/>
          <w:szCs w:val="24"/>
        </w:rPr>
        <w:t>Judul Artikel</w:t>
      </w:r>
      <w:r>
        <w:rPr>
          <w:sz w:val="24"/>
          <w:szCs w:val="24"/>
        </w:rPr>
        <w:tab/>
        <w:t>: Pengaruh Media Canva terhadap Kemampuan Berpikir Simbolis pada Anak</w:t>
      </w:r>
    </w:p>
    <w:p w:rsidR="00DC1DCC" w:rsidRDefault="00DC1DCC" w:rsidP="00DC1DCC">
      <w:pPr>
        <w:spacing w:after="0" w:line="360" w:lineRule="auto"/>
        <w:ind w:left="720" w:firstLine="720"/>
        <w:rPr>
          <w:sz w:val="24"/>
          <w:szCs w:val="24"/>
        </w:rPr>
      </w:pPr>
      <w:r>
        <w:rPr>
          <w:sz w:val="24"/>
          <w:szCs w:val="24"/>
        </w:rPr>
        <w:t xml:space="preserve">  Usia 4-5 Tahun di TK An Nur Tulungagung</w:t>
      </w:r>
    </w:p>
    <w:p w:rsidR="00DC1DCC" w:rsidRDefault="00DC1DCC" w:rsidP="00DC1DCC">
      <w:pPr>
        <w:spacing w:after="0" w:line="360" w:lineRule="auto"/>
        <w:rPr>
          <w:sz w:val="24"/>
          <w:szCs w:val="24"/>
        </w:rPr>
      </w:pPr>
      <w:r>
        <w:rPr>
          <w:sz w:val="24"/>
          <w:szCs w:val="24"/>
        </w:rPr>
        <w:t>Jurnal</w:t>
      </w:r>
      <w:r>
        <w:rPr>
          <w:sz w:val="24"/>
          <w:szCs w:val="24"/>
        </w:rPr>
        <w:tab/>
      </w:r>
      <w:r>
        <w:rPr>
          <w:sz w:val="24"/>
          <w:szCs w:val="24"/>
        </w:rPr>
        <w:tab/>
        <w:t>: AL-MIKRAJ, Jurnal Studi Islam dan Humaniora, 2024, Volume 5, No. 01</w:t>
      </w:r>
    </w:p>
    <w:p w:rsidR="00DC1DCC" w:rsidRDefault="00DC1DCC" w:rsidP="00DC1DCC">
      <w:pPr>
        <w:spacing w:after="0" w:line="360" w:lineRule="auto"/>
        <w:ind w:left="720" w:firstLine="720"/>
        <w:rPr>
          <w:sz w:val="24"/>
          <w:szCs w:val="24"/>
        </w:rPr>
      </w:pPr>
      <w:r>
        <w:rPr>
          <w:sz w:val="24"/>
          <w:szCs w:val="24"/>
        </w:rPr>
        <w:t xml:space="preserve">  No. 02, Hlm 907-917</w:t>
      </w:r>
    </w:p>
    <w:p w:rsidR="00DC1DCC" w:rsidRDefault="00DC1DCC" w:rsidP="00DC1DCC">
      <w:pPr>
        <w:spacing w:after="0" w:line="360" w:lineRule="auto"/>
        <w:rPr>
          <w:sz w:val="24"/>
          <w:szCs w:val="24"/>
        </w:rPr>
      </w:pPr>
      <w:r>
        <w:rPr>
          <w:sz w:val="24"/>
          <w:szCs w:val="24"/>
        </w:rPr>
        <w:t>Penulis</w:t>
      </w:r>
      <w:r>
        <w:rPr>
          <w:sz w:val="24"/>
          <w:szCs w:val="24"/>
        </w:rPr>
        <w:tab/>
      </w:r>
      <w:r>
        <w:rPr>
          <w:sz w:val="24"/>
          <w:szCs w:val="24"/>
        </w:rPr>
        <w:tab/>
        <w:t>: Dian Mustikawati, M.Pd.</w:t>
      </w:r>
    </w:p>
    <w:p w:rsidR="00DC1DCC" w:rsidRDefault="00DC1DCC" w:rsidP="00DC1DCC">
      <w:pPr>
        <w:spacing w:after="0" w:line="360" w:lineRule="auto"/>
        <w:rPr>
          <w:sz w:val="24"/>
          <w:szCs w:val="24"/>
        </w:rPr>
      </w:pPr>
    </w:p>
    <w:p w:rsidR="00DC1DCC" w:rsidRDefault="00DC1DCC" w:rsidP="00DC1DCC">
      <w:pPr>
        <w:spacing w:after="0" w:line="360" w:lineRule="auto"/>
        <w:rPr>
          <w:sz w:val="24"/>
          <w:szCs w:val="24"/>
        </w:rPr>
      </w:pPr>
    </w:p>
    <w:tbl>
      <w:tblPr>
        <w:tblStyle w:val="TableGrid"/>
        <w:tblW w:w="0" w:type="auto"/>
        <w:tblLook w:val="04A0"/>
      </w:tblPr>
      <w:tblGrid>
        <w:gridCol w:w="675"/>
        <w:gridCol w:w="6521"/>
        <w:gridCol w:w="2046"/>
      </w:tblGrid>
      <w:tr w:rsidR="00DC1DCC" w:rsidTr="00DC1DCC">
        <w:tc>
          <w:tcPr>
            <w:tcW w:w="675" w:type="dxa"/>
          </w:tcPr>
          <w:p w:rsidR="00DC1DCC" w:rsidRPr="00DC1DCC" w:rsidRDefault="00DC1DCC" w:rsidP="00DC1DCC">
            <w:pPr>
              <w:spacing w:line="360" w:lineRule="auto"/>
              <w:jc w:val="center"/>
              <w:rPr>
                <w:b/>
                <w:sz w:val="24"/>
                <w:szCs w:val="24"/>
              </w:rPr>
            </w:pPr>
            <w:r w:rsidRPr="00DC1DCC">
              <w:rPr>
                <w:b/>
                <w:sz w:val="24"/>
                <w:szCs w:val="24"/>
              </w:rPr>
              <w:t>No.</w:t>
            </w:r>
          </w:p>
        </w:tc>
        <w:tc>
          <w:tcPr>
            <w:tcW w:w="6521" w:type="dxa"/>
          </w:tcPr>
          <w:p w:rsidR="00DC1DCC" w:rsidRPr="00DC1DCC" w:rsidRDefault="00DC1DCC" w:rsidP="00DC1DCC">
            <w:pPr>
              <w:spacing w:line="360" w:lineRule="auto"/>
              <w:jc w:val="center"/>
              <w:rPr>
                <w:b/>
                <w:sz w:val="24"/>
                <w:szCs w:val="24"/>
              </w:rPr>
            </w:pPr>
            <w:r w:rsidRPr="00DC1DCC">
              <w:rPr>
                <w:b/>
                <w:sz w:val="24"/>
                <w:szCs w:val="24"/>
              </w:rPr>
              <w:t>Perihal</w:t>
            </w:r>
          </w:p>
        </w:tc>
        <w:tc>
          <w:tcPr>
            <w:tcW w:w="2046" w:type="dxa"/>
          </w:tcPr>
          <w:p w:rsidR="00DC1DCC" w:rsidRPr="00DC1DCC" w:rsidRDefault="00DC1DCC" w:rsidP="00DC1DCC">
            <w:pPr>
              <w:spacing w:line="360" w:lineRule="auto"/>
              <w:jc w:val="center"/>
              <w:rPr>
                <w:b/>
                <w:sz w:val="24"/>
                <w:szCs w:val="24"/>
              </w:rPr>
            </w:pPr>
            <w:r w:rsidRPr="00DC1DCC">
              <w:rPr>
                <w:b/>
                <w:sz w:val="24"/>
                <w:szCs w:val="24"/>
              </w:rPr>
              <w:t>Tanggal</w:t>
            </w:r>
          </w:p>
        </w:tc>
      </w:tr>
      <w:tr w:rsidR="00DC1DCC" w:rsidTr="00DC1DCC">
        <w:tc>
          <w:tcPr>
            <w:tcW w:w="675" w:type="dxa"/>
          </w:tcPr>
          <w:p w:rsidR="00DC1DCC" w:rsidRDefault="00DC1DCC" w:rsidP="00DC1DCC">
            <w:pPr>
              <w:spacing w:line="360" w:lineRule="auto"/>
              <w:jc w:val="center"/>
              <w:rPr>
                <w:sz w:val="24"/>
                <w:szCs w:val="24"/>
              </w:rPr>
            </w:pPr>
            <w:r>
              <w:rPr>
                <w:sz w:val="24"/>
                <w:szCs w:val="24"/>
              </w:rPr>
              <w:t>1.</w:t>
            </w:r>
          </w:p>
        </w:tc>
        <w:tc>
          <w:tcPr>
            <w:tcW w:w="6521" w:type="dxa"/>
          </w:tcPr>
          <w:p w:rsidR="00DC1DCC" w:rsidRDefault="00DC1DCC" w:rsidP="00DC1DCC">
            <w:pPr>
              <w:spacing w:line="360" w:lineRule="auto"/>
              <w:rPr>
                <w:sz w:val="24"/>
                <w:szCs w:val="24"/>
              </w:rPr>
            </w:pPr>
            <w:r>
              <w:rPr>
                <w:sz w:val="24"/>
                <w:szCs w:val="24"/>
              </w:rPr>
              <w:t>Bukti konfirmasi submit artikel beserta artikel yang di submit sesuai dengan template</w:t>
            </w:r>
          </w:p>
        </w:tc>
        <w:tc>
          <w:tcPr>
            <w:tcW w:w="2046" w:type="dxa"/>
          </w:tcPr>
          <w:p w:rsidR="00DC1DCC" w:rsidRDefault="00DC1DCC" w:rsidP="00DC1DCC">
            <w:pPr>
              <w:spacing w:line="360" w:lineRule="auto"/>
              <w:jc w:val="center"/>
              <w:rPr>
                <w:sz w:val="24"/>
                <w:szCs w:val="24"/>
              </w:rPr>
            </w:pPr>
            <w:r>
              <w:rPr>
                <w:sz w:val="24"/>
                <w:szCs w:val="24"/>
              </w:rPr>
              <w:t>08 Oktober 2024</w:t>
            </w:r>
          </w:p>
        </w:tc>
      </w:tr>
      <w:tr w:rsidR="00DC1DCC" w:rsidTr="00DC1DCC">
        <w:tc>
          <w:tcPr>
            <w:tcW w:w="675" w:type="dxa"/>
          </w:tcPr>
          <w:p w:rsidR="00DC1DCC" w:rsidRDefault="00DC1DCC" w:rsidP="00DC1DCC">
            <w:pPr>
              <w:spacing w:line="360" w:lineRule="auto"/>
              <w:jc w:val="center"/>
              <w:rPr>
                <w:sz w:val="24"/>
                <w:szCs w:val="24"/>
              </w:rPr>
            </w:pPr>
            <w:r>
              <w:rPr>
                <w:sz w:val="24"/>
                <w:szCs w:val="24"/>
              </w:rPr>
              <w:t>2.</w:t>
            </w:r>
          </w:p>
        </w:tc>
        <w:tc>
          <w:tcPr>
            <w:tcW w:w="6521" w:type="dxa"/>
          </w:tcPr>
          <w:p w:rsidR="00DC1DCC" w:rsidRDefault="00DC1DCC" w:rsidP="00DC1DCC">
            <w:pPr>
              <w:spacing w:line="360" w:lineRule="auto"/>
              <w:rPr>
                <w:sz w:val="24"/>
                <w:szCs w:val="24"/>
              </w:rPr>
            </w:pPr>
            <w:r>
              <w:rPr>
                <w:sz w:val="24"/>
                <w:szCs w:val="24"/>
              </w:rPr>
              <w:t>Bukti konfirmasi dari pihak reviewer</w:t>
            </w:r>
          </w:p>
        </w:tc>
        <w:tc>
          <w:tcPr>
            <w:tcW w:w="2046" w:type="dxa"/>
          </w:tcPr>
          <w:p w:rsidR="00DC1DCC" w:rsidRDefault="00DC1DCC" w:rsidP="00DC1DCC">
            <w:pPr>
              <w:spacing w:line="360" w:lineRule="auto"/>
              <w:jc w:val="center"/>
              <w:rPr>
                <w:sz w:val="24"/>
                <w:szCs w:val="24"/>
              </w:rPr>
            </w:pPr>
            <w:r>
              <w:rPr>
                <w:sz w:val="24"/>
                <w:szCs w:val="24"/>
              </w:rPr>
              <w:t>08 Oktober 2024</w:t>
            </w:r>
          </w:p>
        </w:tc>
      </w:tr>
      <w:tr w:rsidR="00DC1DCC" w:rsidTr="00DC1DCC">
        <w:tc>
          <w:tcPr>
            <w:tcW w:w="675" w:type="dxa"/>
          </w:tcPr>
          <w:p w:rsidR="00DC1DCC" w:rsidRDefault="00DC1DCC" w:rsidP="00DC1DCC">
            <w:pPr>
              <w:spacing w:line="360" w:lineRule="auto"/>
              <w:jc w:val="center"/>
              <w:rPr>
                <w:sz w:val="24"/>
                <w:szCs w:val="24"/>
              </w:rPr>
            </w:pPr>
            <w:r>
              <w:rPr>
                <w:sz w:val="24"/>
                <w:szCs w:val="24"/>
              </w:rPr>
              <w:t>3.</w:t>
            </w:r>
          </w:p>
        </w:tc>
        <w:tc>
          <w:tcPr>
            <w:tcW w:w="6521" w:type="dxa"/>
          </w:tcPr>
          <w:p w:rsidR="00DC1DCC" w:rsidRDefault="00DC1DCC" w:rsidP="00DC1DCC">
            <w:pPr>
              <w:spacing w:line="360" w:lineRule="auto"/>
              <w:rPr>
                <w:sz w:val="24"/>
                <w:szCs w:val="24"/>
              </w:rPr>
            </w:pPr>
            <w:r>
              <w:rPr>
                <w:sz w:val="24"/>
                <w:szCs w:val="24"/>
              </w:rPr>
              <w:t xml:space="preserve">Bukti konfirmasi artikel </w:t>
            </w:r>
            <w:r w:rsidRPr="00DC1DCC">
              <w:rPr>
                <w:i/>
                <w:sz w:val="24"/>
                <w:szCs w:val="24"/>
              </w:rPr>
              <w:t>accepted</w:t>
            </w:r>
          </w:p>
        </w:tc>
        <w:tc>
          <w:tcPr>
            <w:tcW w:w="2046" w:type="dxa"/>
          </w:tcPr>
          <w:p w:rsidR="00DC1DCC" w:rsidRDefault="00DC1DCC" w:rsidP="00DC1DCC">
            <w:pPr>
              <w:spacing w:line="360" w:lineRule="auto"/>
              <w:jc w:val="center"/>
              <w:rPr>
                <w:sz w:val="24"/>
                <w:szCs w:val="24"/>
              </w:rPr>
            </w:pPr>
            <w:r>
              <w:rPr>
                <w:sz w:val="24"/>
                <w:szCs w:val="24"/>
              </w:rPr>
              <w:t>09 Oktober 2024</w:t>
            </w:r>
          </w:p>
        </w:tc>
      </w:tr>
      <w:tr w:rsidR="00DC1DCC" w:rsidTr="00DC1DCC">
        <w:tc>
          <w:tcPr>
            <w:tcW w:w="675" w:type="dxa"/>
          </w:tcPr>
          <w:p w:rsidR="00DC1DCC" w:rsidRDefault="00DC1DCC" w:rsidP="00DC1DCC">
            <w:pPr>
              <w:spacing w:line="360" w:lineRule="auto"/>
              <w:jc w:val="center"/>
              <w:rPr>
                <w:sz w:val="24"/>
                <w:szCs w:val="24"/>
              </w:rPr>
            </w:pPr>
            <w:r>
              <w:rPr>
                <w:sz w:val="24"/>
                <w:szCs w:val="24"/>
              </w:rPr>
              <w:t>4.</w:t>
            </w:r>
          </w:p>
        </w:tc>
        <w:tc>
          <w:tcPr>
            <w:tcW w:w="6521" w:type="dxa"/>
          </w:tcPr>
          <w:p w:rsidR="00DC1DCC" w:rsidRDefault="00DC1DCC" w:rsidP="00DC1DCC">
            <w:pPr>
              <w:spacing w:line="360" w:lineRule="auto"/>
              <w:rPr>
                <w:sz w:val="24"/>
                <w:szCs w:val="24"/>
              </w:rPr>
            </w:pPr>
            <w:r>
              <w:rPr>
                <w:sz w:val="24"/>
                <w:szCs w:val="24"/>
              </w:rPr>
              <w:t xml:space="preserve">Bukti artikel </w:t>
            </w:r>
            <w:r w:rsidRPr="00DC1DCC">
              <w:rPr>
                <w:i/>
                <w:sz w:val="24"/>
                <w:szCs w:val="24"/>
              </w:rPr>
              <w:t>published online</w:t>
            </w:r>
          </w:p>
        </w:tc>
        <w:tc>
          <w:tcPr>
            <w:tcW w:w="2046" w:type="dxa"/>
          </w:tcPr>
          <w:p w:rsidR="00DC1DCC" w:rsidRDefault="00984579" w:rsidP="00DC1DCC">
            <w:pPr>
              <w:spacing w:line="360" w:lineRule="auto"/>
              <w:jc w:val="center"/>
              <w:rPr>
                <w:sz w:val="24"/>
                <w:szCs w:val="24"/>
              </w:rPr>
            </w:pPr>
            <w:r>
              <w:rPr>
                <w:sz w:val="24"/>
                <w:szCs w:val="24"/>
              </w:rPr>
              <w:t>15</w:t>
            </w:r>
            <w:r w:rsidR="00DC1DCC">
              <w:rPr>
                <w:sz w:val="24"/>
                <w:szCs w:val="24"/>
              </w:rPr>
              <w:t xml:space="preserve"> Oktober 2024</w:t>
            </w:r>
          </w:p>
        </w:tc>
      </w:tr>
    </w:tbl>
    <w:p w:rsidR="00DC1DCC" w:rsidRDefault="00DC1DCC" w:rsidP="00DC1DCC">
      <w:pPr>
        <w:spacing w:after="0" w:line="360" w:lineRule="auto"/>
        <w:rPr>
          <w:sz w:val="24"/>
          <w:szCs w:val="24"/>
        </w:rPr>
      </w:pPr>
    </w:p>
    <w:p w:rsidR="00DC1DCC" w:rsidRDefault="00DC1DCC" w:rsidP="00DC1DCC">
      <w:pPr>
        <w:spacing w:after="0" w:line="360" w:lineRule="auto"/>
        <w:rPr>
          <w:sz w:val="24"/>
          <w:szCs w:val="24"/>
        </w:rPr>
      </w:pPr>
    </w:p>
    <w:p w:rsidR="00DC1DCC" w:rsidRPr="00D743AB" w:rsidRDefault="00DC1DCC" w:rsidP="00DC1DCC">
      <w:pPr>
        <w:pStyle w:val="ListParagraph"/>
        <w:numPr>
          <w:ilvl w:val="0"/>
          <w:numId w:val="1"/>
        </w:numPr>
        <w:spacing w:after="0" w:line="360" w:lineRule="auto"/>
        <w:rPr>
          <w:b/>
          <w:sz w:val="28"/>
          <w:szCs w:val="28"/>
        </w:rPr>
      </w:pPr>
      <w:r w:rsidRPr="00D743AB">
        <w:rPr>
          <w:b/>
          <w:sz w:val="28"/>
          <w:szCs w:val="28"/>
        </w:rPr>
        <w:t>Bukti konfirmasi submit artikel beserta artikel yang di submit sesuai dengan template ( 08 Oktober 2024)</w:t>
      </w:r>
    </w:p>
    <w:p w:rsidR="00DC1DCC" w:rsidRDefault="005660B3" w:rsidP="00DC1DCC">
      <w:pPr>
        <w:spacing w:after="0" w:line="360" w:lineRule="auto"/>
        <w:rPr>
          <w:sz w:val="24"/>
          <w:szCs w:val="24"/>
        </w:rPr>
      </w:pPr>
      <w:r>
        <w:rPr>
          <w:noProof/>
          <w:sz w:val="24"/>
          <w:szCs w:val="24"/>
          <w:lang w:eastAsia="id-ID"/>
        </w:rPr>
        <w:drawing>
          <wp:inline distT="0" distB="0" distL="0" distR="0">
            <wp:extent cx="5133501" cy="3063834"/>
            <wp:effectExtent l="19050" t="0" r="0" b="0"/>
            <wp:docPr id="1" name="Picture 0" descr="WhatsApp Image 2024-10-30 at 14.1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30 at 14.12.07.jpeg"/>
                    <pic:cNvPicPr/>
                  </pic:nvPicPr>
                  <pic:blipFill>
                    <a:blip r:embed="rId7"/>
                    <a:stretch>
                      <a:fillRect/>
                    </a:stretch>
                  </pic:blipFill>
                  <pic:spPr>
                    <a:xfrm>
                      <a:off x="0" y="0"/>
                      <a:ext cx="5138381" cy="3066746"/>
                    </a:xfrm>
                    <a:prstGeom prst="rect">
                      <a:avLst/>
                    </a:prstGeom>
                  </pic:spPr>
                </pic:pic>
              </a:graphicData>
            </a:graphic>
          </wp:inline>
        </w:drawing>
      </w:r>
    </w:p>
    <w:p w:rsidR="00D743AB" w:rsidRPr="00D743AB" w:rsidRDefault="00D743AB" w:rsidP="00D743AB">
      <w:pPr>
        <w:spacing w:line="240" w:lineRule="auto"/>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lastRenderedPageBreak/>
        <w:t>Pengaruh Media Canva terhadap Kemampuan Berpikir Simbolis pada Anak Usia 4-5 Tahun di TK An Nur Tulungagung</w:t>
      </w:r>
    </w:p>
    <w:p w:rsidR="00D743AB" w:rsidRDefault="00D743AB" w:rsidP="00D743AB">
      <w:pPr>
        <w:spacing w:line="240" w:lineRule="auto"/>
        <w:rPr>
          <w:rFonts w:ascii="Palatino Linotype" w:eastAsia="Palatino Linotype" w:hAnsi="Palatino Linotype" w:cs="Palatino Linotype"/>
          <w:b/>
        </w:rPr>
      </w:pPr>
      <w:r>
        <w:rPr>
          <w:rFonts w:ascii="Palatino Linotype" w:eastAsia="Palatino Linotype" w:hAnsi="Palatino Linotype" w:cs="Palatino Linotype"/>
          <w:b/>
        </w:rPr>
        <w:t>Dian Mustikawati</w:t>
      </w:r>
    </w:p>
    <w:p w:rsidR="00D743AB" w:rsidRDefault="00D743AB" w:rsidP="00D743AB">
      <w:pPr>
        <w:spacing w:line="240" w:lineRule="auto"/>
        <w:rPr>
          <w:rFonts w:ascii="Palatino Linotype" w:eastAsia="Palatino Linotype" w:hAnsi="Palatino Linotype" w:cs="Palatino Linotype"/>
        </w:rPr>
      </w:pPr>
      <w:r>
        <w:rPr>
          <w:rFonts w:ascii="Palatino Linotype" w:eastAsia="Palatino Linotype" w:hAnsi="Palatino Linotype" w:cs="Palatino Linotype"/>
        </w:rPr>
        <w:t>Universitas Islam Negeri Sayyid Ali Rahmatullah Tulungagung; Indonesia</w:t>
      </w:r>
      <w:r>
        <w:rPr>
          <w:rFonts w:ascii="Palatino Linotype" w:eastAsia="Palatino Linotype" w:hAnsi="Palatino Linotype" w:cs="Palatino Linotype"/>
        </w:rPr>
        <w:tab/>
      </w:r>
    </w:p>
    <w:p w:rsidR="00D743AB" w:rsidRDefault="00D743AB" w:rsidP="00D743AB">
      <w:pPr>
        <w:spacing w:line="240" w:lineRule="auto"/>
        <w:rPr>
          <w:rFonts w:ascii="Palatino Linotype" w:eastAsia="Palatino Linotype" w:hAnsi="Palatino Linotype" w:cs="Palatino Linotype"/>
        </w:rPr>
      </w:pPr>
      <w:r>
        <w:rPr>
          <w:rFonts w:ascii="Palatino Linotype" w:eastAsia="Palatino Linotype" w:hAnsi="Palatino Linotype" w:cs="Palatino Linotype"/>
        </w:rPr>
        <w:t>DianMustikawati@uinsatu.ac.id</w:t>
      </w:r>
    </w:p>
    <w:p w:rsidR="00D743AB" w:rsidRDefault="00D743AB" w:rsidP="00D743AB">
      <w:pPr>
        <w:spacing w:line="240" w:lineRule="auto"/>
        <w:rPr>
          <w:rFonts w:ascii="Palatino Linotype" w:eastAsia="Palatino Linotype" w:hAnsi="Palatino Linotype" w:cs="Palatino Linotype"/>
        </w:rPr>
      </w:pPr>
    </w:p>
    <w:tbl>
      <w:tblPr>
        <w:tblW w:w="91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32"/>
        <w:gridCol w:w="280"/>
        <w:gridCol w:w="7053"/>
      </w:tblGrid>
      <w:tr w:rsidR="00D743AB" w:rsidTr="003544EA">
        <w:trPr>
          <w:trHeight w:val="368"/>
          <w:jc w:val="center"/>
        </w:trPr>
        <w:tc>
          <w:tcPr>
            <w:tcW w:w="1832" w:type="dxa"/>
            <w:tcBorders>
              <w:top w:val="nil"/>
              <w:left w:val="nil"/>
              <w:bottom w:val="single" w:sz="4" w:space="0" w:color="000000"/>
              <w:right w:val="nil"/>
            </w:tcBorders>
            <w:shd w:val="clear" w:color="auto" w:fill="auto"/>
          </w:tcPr>
          <w:p w:rsidR="00D743AB" w:rsidRDefault="00D743AB" w:rsidP="003544EA">
            <w:pPr>
              <w:pBdr>
                <w:top w:val="nil"/>
                <w:left w:val="nil"/>
                <w:bottom w:val="nil"/>
                <w:right w:val="nil"/>
                <w:between w:val="nil"/>
              </w:pBdr>
              <w:tabs>
                <w:tab w:val="center" w:pos="4706"/>
                <w:tab w:val="right" w:pos="9356"/>
              </w:tabs>
              <w:spacing w:after="80" w:line="230" w:lineRule="auto"/>
              <w:rPr>
                <w:rFonts w:ascii="Palatino Linotype" w:eastAsia="Palatino Linotype" w:hAnsi="Palatino Linotype" w:cs="Palatino Linotype"/>
                <w:b/>
                <w:color w:val="000000"/>
                <w:sz w:val="20"/>
              </w:rPr>
            </w:pPr>
            <w:r>
              <w:rPr>
                <w:rFonts w:ascii="Palatino Linotype" w:eastAsia="Palatino Linotype" w:hAnsi="Palatino Linotype" w:cs="Palatino Linotype"/>
                <w:sz w:val="20"/>
              </w:rPr>
              <w:t>Submitted:</w:t>
            </w:r>
          </w:p>
        </w:tc>
        <w:tc>
          <w:tcPr>
            <w:tcW w:w="280" w:type="dxa"/>
            <w:tcBorders>
              <w:top w:val="nil"/>
              <w:left w:val="nil"/>
              <w:bottom w:val="nil"/>
              <w:right w:val="nil"/>
            </w:tcBorders>
            <w:shd w:val="clear" w:color="auto" w:fill="auto"/>
          </w:tcPr>
          <w:p w:rsidR="00D743AB" w:rsidRDefault="00D743AB" w:rsidP="003544EA">
            <w:pPr>
              <w:pBdr>
                <w:top w:val="nil"/>
                <w:left w:val="nil"/>
                <w:bottom w:val="nil"/>
                <w:right w:val="nil"/>
                <w:between w:val="nil"/>
              </w:pBdr>
              <w:tabs>
                <w:tab w:val="center" w:pos="4706"/>
                <w:tab w:val="right" w:pos="9356"/>
              </w:tabs>
              <w:spacing w:after="80" w:line="230" w:lineRule="auto"/>
              <w:jc w:val="both"/>
              <w:rPr>
                <w:rFonts w:ascii="Palatino Linotype" w:eastAsia="Palatino Linotype" w:hAnsi="Palatino Linotype" w:cs="Palatino Linotype"/>
                <w:b/>
                <w:color w:val="000000"/>
                <w:sz w:val="20"/>
              </w:rPr>
            </w:pPr>
          </w:p>
        </w:tc>
        <w:tc>
          <w:tcPr>
            <w:tcW w:w="7053" w:type="dxa"/>
            <w:tcBorders>
              <w:top w:val="nil"/>
              <w:left w:val="nil"/>
              <w:bottom w:val="single" w:sz="4" w:space="0" w:color="000000"/>
              <w:right w:val="nil"/>
            </w:tcBorders>
            <w:shd w:val="clear" w:color="auto" w:fill="auto"/>
          </w:tcPr>
          <w:p w:rsidR="00D743AB" w:rsidRDefault="00D743AB" w:rsidP="003544EA">
            <w:pPr>
              <w:tabs>
                <w:tab w:val="left" w:pos="2442"/>
                <w:tab w:val="left" w:pos="4549"/>
              </w:tabs>
              <w:spacing w:line="240" w:lineRule="auto"/>
              <w:jc w:val="both"/>
              <w:rPr>
                <w:rFonts w:ascii="Palatino Linotype" w:eastAsia="Palatino Linotype" w:hAnsi="Palatino Linotype" w:cs="Palatino Linotype"/>
                <w:sz w:val="20"/>
              </w:rPr>
            </w:pPr>
            <w:r>
              <w:rPr>
                <w:rFonts w:ascii="Palatino Linotype" w:eastAsia="Palatino Linotype" w:hAnsi="Palatino Linotype" w:cs="Palatino Linotype"/>
                <w:sz w:val="20"/>
              </w:rPr>
              <w:t>Revised: 2024/07/01;</w:t>
            </w:r>
            <w:r>
              <w:rPr>
                <w:rFonts w:ascii="Palatino Linotype" w:eastAsia="Palatino Linotype" w:hAnsi="Palatino Linotype" w:cs="Palatino Linotype"/>
                <w:sz w:val="20"/>
              </w:rPr>
              <w:tab/>
              <w:t>Accepted: 2024/07/11;</w:t>
            </w:r>
            <w:r>
              <w:rPr>
                <w:rFonts w:ascii="Palatino Linotype" w:eastAsia="Palatino Linotype" w:hAnsi="Palatino Linotype" w:cs="Palatino Linotype"/>
                <w:sz w:val="20"/>
              </w:rPr>
              <w:tab/>
              <w:t>Published: 2024/07/21</w:t>
            </w:r>
          </w:p>
        </w:tc>
      </w:tr>
      <w:tr w:rsidR="00D743AB" w:rsidTr="003544EA">
        <w:trPr>
          <w:trHeight w:val="2686"/>
          <w:jc w:val="center"/>
        </w:trPr>
        <w:tc>
          <w:tcPr>
            <w:tcW w:w="1832" w:type="dxa"/>
            <w:tcBorders>
              <w:top w:val="single" w:sz="4" w:space="0" w:color="000000"/>
              <w:left w:val="nil"/>
              <w:bottom w:val="single" w:sz="4" w:space="0" w:color="000000"/>
              <w:right w:val="nil"/>
            </w:tcBorders>
            <w:shd w:val="clear" w:color="auto" w:fill="auto"/>
          </w:tcPr>
          <w:p w:rsidR="00D743AB" w:rsidRDefault="00D743AB" w:rsidP="003544EA">
            <w:pPr>
              <w:spacing w:line="240" w:lineRule="auto"/>
              <w:ind w:left="37"/>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Abstract</w:t>
            </w:r>
          </w:p>
          <w:p w:rsidR="00D743AB" w:rsidRDefault="00D743AB" w:rsidP="003544EA">
            <w:pPr>
              <w:spacing w:after="160" w:line="259" w:lineRule="auto"/>
              <w:rPr>
                <w:rFonts w:ascii="Palatino Linotype" w:eastAsia="Palatino Linotype" w:hAnsi="Palatino Linotype" w:cs="Palatino Linotype"/>
              </w:rPr>
            </w:pPr>
          </w:p>
          <w:p w:rsidR="00D743AB" w:rsidRDefault="00D743AB" w:rsidP="003544EA">
            <w:pPr>
              <w:spacing w:after="160" w:line="259" w:lineRule="auto"/>
              <w:rPr>
                <w:rFonts w:ascii="Palatino Linotype" w:eastAsia="Palatino Linotype" w:hAnsi="Palatino Linotype" w:cs="Palatino Linotype"/>
              </w:rPr>
            </w:pPr>
          </w:p>
          <w:p w:rsidR="00D743AB" w:rsidRDefault="00D743AB" w:rsidP="003544EA">
            <w:pPr>
              <w:spacing w:after="160" w:line="259" w:lineRule="auto"/>
              <w:rPr>
                <w:rFonts w:ascii="Palatino Linotype" w:eastAsia="Palatino Linotype" w:hAnsi="Palatino Linotype" w:cs="Palatino Linotype"/>
              </w:rPr>
            </w:pPr>
          </w:p>
          <w:p w:rsidR="00D743AB" w:rsidRDefault="00D743AB" w:rsidP="003544EA">
            <w:pPr>
              <w:spacing w:after="160" w:line="259" w:lineRule="auto"/>
              <w:rPr>
                <w:rFonts w:ascii="Palatino Linotype" w:eastAsia="Palatino Linotype" w:hAnsi="Palatino Linotype" w:cs="Palatino Linotype"/>
              </w:rPr>
            </w:pPr>
          </w:p>
          <w:p w:rsidR="00D743AB" w:rsidRDefault="00D743AB" w:rsidP="003544EA">
            <w:pPr>
              <w:spacing w:after="160" w:line="259" w:lineRule="auto"/>
              <w:rPr>
                <w:rFonts w:ascii="Palatino Linotype" w:eastAsia="Palatino Linotype" w:hAnsi="Palatino Linotype" w:cs="Palatino Linotype"/>
              </w:rPr>
            </w:pPr>
          </w:p>
        </w:tc>
        <w:tc>
          <w:tcPr>
            <w:tcW w:w="280" w:type="dxa"/>
            <w:tcBorders>
              <w:top w:val="nil"/>
              <w:left w:val="nil"/>
              <w:bottom w:val="nil"/>
              <w:right w:val="nil"/>
            </w:tcBorders>
            <w:shd w:val="clear" w:color="auto" w:fill="auto"/>
          </w:tcPr>
          <w:p w:rsidR="00D743AB" w:rsidRDefault="00D743AB" w:rsidP="003544EA">
            <w:pPr>
              <w:spacing w:before="120" w:line="240" w:lineRule="auto"/>
              <w:jc w:val="both"/>
              <w:rPr>
                <w:rFonts w:ascii="Palatino Linotype" w:eastAsia="Palatino Linotype" w:hAnsi="Palatino Linotype" w:cs="Palatino Linotype"/>
                <w:sz w:val="18"/>
                <w:szCs w:val="18"/>
              </w:rPr>
            </w:pPr>
          </w:p>
        </w:tc>
        <w:tc>
          <w:tcPr>
            <w:tcW w:w="7053" w:type="dxa"/>
            <w:tcBorders>
              <w:top w:val="single" w:sz="4" w:space="0" w:color="000000"/>
              <w:left w:val="nil"/>
              <w:right w:val="nil"/>
            </w:tcBorders>
            <w:shd w:val="clear" w:color="auto" w:fill="auto"/>
          </w:tcPr>
          <w:p w:rsidR="00D743AB" w:rsidRDefault="00D743AB" w:rsidP="003544EA">
            <w:pPr>
              <w:spacing w:line="240" w:lineRule="auto"/>
              <w:ind w:right="-12"/>
              <w:jc w:val="both"/>
              <w:rPr>
                <w:rFonts w:ascii="Palatino Linotype" w:eastAsia="Palatino Linotype" w:hAnsi="Palatino Linotype" w:cs="Palatino Linotype"/>
                <w:i/>
              </w:rPr>
            </w:pPr>
            <w:r>
              <w:rPr>
                <w:rFonts w:ascii="Palatino Linotype" w:eastAsia="Palatino Linotype" w:hAnsi="Palatino Linotype" w:cs="Palatino Linotype"/>
                <w:color w:val="000000"/>
              </w:rPr>
              <w:t xml:space="preserve">Kemampuan berpikir simbolis pada anak usia 4-5 tahun merupakan </w:t>
            </w:r>
            <w:r>
              <w:rPr>
                <w:rFonts w:ascii="Palatino Linotype" w:eastAsia="Palatino Linotype" w:hAnsi="Palatino Linotype" w:cs="Palatino Linotype"/>
              </w:rPr>
              <w:t xml:space="preserve">pondasi </w:t>
            </w:r>
            <w:r>
              <w:rPr>
                <w:rFonts w:ascii="Palatino Linotype" w:eastAsia="Palatino Linotype" w:hAnsi="Palatino Linotype" w:cs="Palatino Linotype"/>
                <w:color w:val="000000"/>
              </w:rPr>
              <w:t>penting pada perkembangan kognitif, yakni dalam pengenalan huruf dan angka yang berperan pada literasi dan numerasi di masa depan. Kemamp</w:t>
            </w:r>
            <w:bookmarkStart w:id="0" w:name="_GoBack"/>
            <w:bookmarkEnd w:id="0"/>
            <w:r>
              <w:rPr>
                <w:rFonts w:ascii="Palatino Linotype" w:eastAsia="Palatino Linotype" w:hAnsi="Palatino Linotype" w:cs="Palatino Linotype"/>
                <w:color w:val="000000"/>
              </w:rPr>
              <w:t xml:space="preserve">uan berpikir simbolis akan berkembang </w:t>
            </w:r>
            <w:r>
              <w:rPr>
                <w:rFonts w:ascii="Palatino Linotype" w:eastAsia="Palatino Linotype" w:hAnsi="Palatino Linotype" w:cs="Palatino Linotype"/>
              </w:rPr>
              <w:t>maksimal dengan menggunakan media n</w:t>
            </w:r>
            <w:r>
              <w:rPr>
                <w:rFonts w:ascii="Palatino Linotype" w:eastAsia="Palatino Linotype" w:hAnsi="Palatino Linotype" w:cs="Palatino Linotype"/>
                <w:color w:val="000000"/>
              </w:rPr>
              <w:t xml:space="preserve">amun, media pembelajaran konvensional sering kali kurang efektif dalam merangsang kemampuan simbolis ini secara optimal. Teknologi digital seperti Canva menawarkan potensi sebagai media pembelajaran interaktif yang dapat membantu meningkatkan kemampuan berpikir simbolis pada anak. Tujuan dari penelitian ini untuk menganalisis pengaruh penggunaan media Canva </w:t>
            </w:r>
            <w:r>
              <w:rPr>
                <w:rFonts w:ascii="Palatino Linotype" w:eastAsia="Palatino Linotype" w:hAnsi="Palatino Linotype" w:cs="Palatino Linotype"/>
              </w:rPr>
              <w:t xml:space="preserve">terhadap </w:t>
            </w:r>
            <w:r>
              <w:rPr>
                <w:rFonts w:ascii="Palatino Linotype" w:eastAsia="Palatino Linotype" w:hAnsi="Palatino Linotype" w:cs="Palatino Linotype"/>
                <w:color w:val="000000"/>
              </w:rPr>
              <w:t>kemampuan berpikir simbolis pada anak usia 4-5 tahun di TK An Nur. Metode yang digunakan pada penelitian ini adalah metode eksperimen dengan menggunakan desain</w:t>
            </w:r>
            <w:r>
              <w:rPr>
                <w:rFonts w:ascii="Palatino Linotype" w:eastAsia="Palatino Linotype" w:hAnsi="Palatino Linotype" w:cs="Palatino Linotype"/>
                <w:i/>
                <w:color w:val="000000"/>
              </w:rPr>
              <w:t>pre-test</w:t>
            </w:r>
            <w:r>
              <w:rPr>
                <w:rFonts w:ascii="Palatino Linotype" w:eastAsia="Palatino Linotype" w:hAnsi="Palatino Linotype" w:cs="Palatino Linotype"/>
                <w:color w:val="000000"/>
              </w:rPr>
              <w:t xml:space="preserve"> dan </w:t>
            </w:r>
            <w:r>
              <w:rPr>
                <w:rFonts w:ascii="Palatino Linotype" w:eastAsia="Palatino Linotype" w:hAnsi="Palatino Linotype" w:cs="Palatino Linotype"/>
                <w:i/>
                <w:color w:val="000000"/>
              </w:rPr>
              <w:t xml:space="preserve">post-test </w:t>
            </w:r>
            <w:r>
              <w:rPr>
                <w:rFonts w:ascii="Palatino Linotype" w:eastAsia="Palatino Linotype" w:hAnsi="Palatino Linotype" w:cs="Palatino Linotype"/>
                <w:color w:val="000000"/>
              </w:rPr>
              <w:t xml:space="preserve">yang dilaksanakan pada dua kelompok, yaitu kelompok eksperimen dengan menggunakan Canva dan kelompok kontrol dengan menggunakan media pembelajaran konvensional. Populasi penelitian terdiri dari 40 </w:t>
            </w:r>
            <w:r>
              <w:rPr>
                <w:rFonts w:ascii="Palatino Linotype" w:eastAsia="Palatino Linotype" w:hAnsi="Palatino Linotype" w:cs="Palatino Linotype"/>
              </w:rPr>
              <w:t xml:space="preserve">anak </w:t>
            </w:r>
            <w:r>
              <w:rPr>
                <w:rFonts w:ascii="Palatino Linotype" w:eastAsia="Palatino Linotype" w:hAnsi="Palatino Linotype" w:cs="Palatino Linotype"/>
                <w:color w:val="000000"/>
              </w:rPr>
              <w:t xml:space="preserve">yang dibagi menjadi dua kelompok. Hasil penelitian ini memperlihatkan bahwa kelompok eksperimen mengalam ipeningkatan signifikan pada kemampuan berpikir simbolis, dengan rata-rata nilai </w:t>
            </w:r>
            <w:r w:rsidRPr="005337CF">
              <w:rPr>
                <w:rFonts w:ascii="Palatino Linotype" w:eastAsia="Palatino Linotype" w:hAnsi="Palatino Linotype" w:cs="Palatino Linotype"/>
                <w:i/>
                <w:iCs/>
                <w:color w:val="000000"/>
              </w:rPr>
              <w:t>post-test</w:t>
            </w:r>
            <w:r w:rsidR="003544EA">
              <w:rPr>
                <w:rFonts w:ascii="Palatino Linotype" w:eastAsia="Palatino Linotype" w:hAnsi="Palatino Linotype" w:cs="Palatino Linotype"/>
                <w:i/>
                <w:iCs/>
                <w:color w:val="000000"/>
              </w:rPr>
              <w:t xml:space="preserve"> </w:t>
            </w:r>
            <w:r>
              <w:rPr>
                <w:rFonts w:ascii="Palatino Linotype" w:eastAsia="Palatino Linotype" w:hAnsi="Palatino Linotype" w:cs="Palatino Linotype"/>
                <w:color w:val="000000"/>
              </w:rPr>
              <w:t>sebesar 76,25, dibanding</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kankelompok</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kontrol yang hanya</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mencapai rata-rata 55,72. Dari paparan</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tersebut di atas</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menunjukkan</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bahwa media Canva efektif</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dalam</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meningkatkan</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kemampuan</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berpikir</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simbolis</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pada anak</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usia</w:t>
            </w:r>
            <w:r w:rsidR="003544EA">
              <w:rPr>
                <w:rFonts w:ascii="Palatino Linotype" w:eastAsia="Palatino Linotype" w:hAnsi="Palatino Linotype" w:cs="Palatino Linotype"/>
                <w:color w:val="000000"/>
              </w:rPr>
              <w:t xml:space="preserve"> </w:t>
            </w:r>
            <w:r>
              <w:rPr>
                <w:rFonts w:ascii="Palatino Linotype" w:eastAsia="Palatino Linotype" w:hAnsi="Palatino Linotype" w:cs="Palatino Linotype"/>
              </w:rPr>
              <w:t>4-5 tahun</w:t>
            </w:r>
            <w:r>
              <w:rPr>
                <w:rFonts w:ascii="Palatino Linotype" w:eastAsia="Palatino Linotype" w:hAnsi="Palatino Linotype" w:cs="Palatino Linotype"/>
                <w:color w:val="000000"/>
              </w:rPr>
              <w:t>.</w:t>
            </w:r>
          </w:p>
          <w:p w:rsidR="00D743AB" w:rsidRDefault="00D743AB" w:rsidP="003544EA">
            <w:pPr>
              <w:spacing w:line="240" w:lineRule="auto"/>
              <w:ind w:right="-12"/>
              <w:jc w:val="both"/>
              <w:rPr>
                <w:rFonts w:ascii="Palatino Linotype" w:eastAsia="Palatino Linotype" w:hAnsi="Palatino Linotype" w:cs="Palatino Linotype"/>
                <w:color w:val="000000"/>
                <w:sz w:val="24"/>
                <w:szCs w:val="24"/>
              </w:rPr>
            </w:pPr>
          </w:p>
        </w:tc>
      </w:tr>
      <w:tr w:rsidR="00D743AB" w:rsidTr="003544EA">
        <w:trPr>
          <w:trHeight w:val="368"/>
          <w:jc w:val="center"/>
        </w:trPr>
        <w:tc>
          <w:tcPr>
            <w:tcW w:w="1832" w:type="dxa"/>
            <w:tcBorders>
              <w:top w:val="single" w:sz="4" w:space="0" w:color="000000"/>
              <w:left w:val="nil"/>
              <w:bottom w:val="single" w:sz="4" w:space="0" w:color="000000"/>
              <w:right w:val="nil"/>
            </w:tcBorders>
            <w:shd w:val="clear" w:color="auto" w:fill="auto"/>
          </w:tcPr>
          <w:p w:rsidR="00D743AB" w:rsidRDefault="00D743AB" w:rsidP="003544EA">
            <w:pPr>
              <w:spacing w:line="240" w:lineRule="auto"/>
              <w:jc w:val="both"/>
              <w:rPr>
                <w:rFonts w:ascii="Palatino Linotype" w:eastAsia="Palatino Linotype" w:hAnsi="Palatino Linotype" w:cs="Palatino Linotype"/>
                <w:b/>
                <w:i/>
              </w:rPr>
            </w:pPr>
            <w:r>
              <w:rPr>
                <w:rFonts w:ascii="Palatino Linotype" w:eastAsia="Palatino Linotype" w:hAnsi="Palatino Linotype" w:cs="Palatino Linotype"/>
                <w:b/>
              </w:rPr>
              <w:t>Keywords</w:t>
            </w:r>
          </w:p>
        </w:tc>
        <w:tc>
          <w:tcPr>
            <w:tcW w:w="280" w:type="dxa"/>
            <w:tcBorders>
              <w:top w:val="nil"/>
              <w:left w:val="nil"/>
              <w:bottom w:val="nil"/>
              <w:right w:val="nil"/>
            </w:tcBorders>
            <w:shd w:val="clear" w:color="auto" w:fill="auto"/>
          </w:tcPr>
          <w:p w:rsidR="00D743AB" w:rsidRDefault="00D743AB" w:rsidP="003544EA">
            <w:pPr>
              <w:spacing w:line="240" w:lineRule="auto"/>
              <w:jc w:val="both"/>
              <w:rPr>
                <w:rFonts w:ascii="Palatino Linotype" w:eastAsia="Palatino Linotype" w:hAnsi="Palatino Linotype" w:cs="Palatino Linotype"/>
                <w:sz w:val="20"/>
              </w:rPr>
            </w:pPr>
          </w:p>
        </w:tc>
        <w:tc>
          <w:tcPr>
            <w:tcW w:w="7053" w:type="dxa"/>
            <w:tcBorders>
              <w:top w:val="nil"/>
              <w:left w:val="nil"/>
              <w:bottom w:val="single" w:sz="4" w:space="0" w:color="000000"/>
              <w:right w:val="nil"/>
            </w:tcBorders>
            <w:shd w:val="clear" w:color="auto" w:fill="auto"/>
          </w:tcPr>
          <w:p w:rsidR="00D743AB" w:rsidRDefault="00D743AB" w:rsidP="003544EA">
            <w:pPr>
              <w:spacing w:after="60" w:line="240" w:lineRule="auto"/>
              <w:ind w:right="-12"/>
              <w:jc w:val="both"/>
              <w:rPr>
                <w:rFonts w:ascii="Palatino Linotype" w:eastAsia="Palatino Linotype" w:hAnsi="Palatino Linotype" w:cs="Palatino Linotype"/>
              </w:rPr>
            </w:pPr>
            <w:r>
              <w:rPr>
                <w:rFonts w:ascii="Palatino Linotype" w:eastAsia="Palatino Linotype" w:hAnsi="Palatino Linotype" w:cs="Palatino Linotype"/>
              </w:rPr>
              <w:t>Media Canva; Berpikir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 Anak Usia 4-5 Tahun; Pengenalan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p>
        </w:tc>
      </w:tr>
      <w:tr w:rsidR="00D743AB" w:rsidTr="003544EA">
        <w:trPr>
          <w:trHeight w:val="368"/>
          <w:jc w:val="center"/>
        </w:trPr>
        <w:tc>
          <w:tcPr>
            <w:tcW w:w="1832" w:type="dxa"/>
            <w:tcBorders>
              <w:top w:val="single" w:sz="4" w:space="0" w:color="000000"/>
              <w:left w:val="nil"/>
              <w:bottom w:val="single" w:sz="4" w:space="0" w:color="000000"/>
              <w:right w:val="nil"/>
            </w:tcBorders>
            <w:shd w:val="clear" w:color="auto" w:fill="auto"/>
          </w:tcPr>
          <w:p w:rsidR="00D743AB" w:rsidRDefault="00D743AB" w:rsidP="003544EA">
            <w:pPr>
              <w:spacing w:line="240" w:lineRule="auto"/>
              <w:rPr>
                <w:rFonts w:ascii="Palatino Linotype" w:eastAsia="Palatino Linotype" w:hAnsi="Palatino Linotype" w:cs="Palatino Linotype"/>
                <w:b/>
                <w:sz w:val="20"/>
              </w:rPr>
            </w:pPr>
            <w:r>
              <w:rPr>
                <w:noProof/>
                <w:lang w:eastAsia="id-ID"/>
              </w:rPr>
              <w:drawing>
                <wp:inline distT="0" distB="0" distL="0" distR="0">
                  <wp:extent cx="842880" cy="319712"/>
                  <wp:effectExtent l="0" t="0" r="0" b="0"/>
                  <wp:docPr id="572704592" name="image1.png" descr="Creative Commons License"/>
                  <wp:cNvGraphicFramePr/>
                  <a:graphic xmlns:a="http://schemas.openxmlformats.org/drawingml/2006/main">
                    <a:graphicData uri="http://schemas.openxmlformats.org/drawingml/2006/picture">
                      <pic:pic xmlns:pic="http://schemas.openxmlformats.org/drawingml/2006/picture">
                        <pic:nvPicPr>
                          <pic:cNvPr id="0" name="image1.png" descr="Creative Commons License"/>
                          <pic:cNvPicPr preferRelativeResize="0"/>
                        </pic:nvPicPr>
                        <pic:blipFill>
                          <a:blip r:embed="rId8"/>
                          <a:srcRect/>
                          <a:stretch>
                            <a:fillRect/>
                          </a:stretch>
                        </pic:blipFill>
                        <pic:spPr>
                          <a:xfrm>
                            <a:off x="0" y="0"/>
                            <a:ext cx="842880" cy="319712"/>
                          </a:xfrm>
                          <a:prstGeom prst="rect">
                            <a:avLst/>
                          </a:prstGeom>
                          <a:ln/>
                        </pic:spPr>
                      </pic:pic>
                    </a:graphicData>
                  </a:graphic>
                </wp:inline>
              </w:drawing>
            </w:r>
          </w:p>
        </w:tc>
        <w:tc>
          <w:tcPr>
            <w:tcW w:w="280" w:type="dxa"/>
            <w:tcBorders>
              <w:top w:val="nil"/>
              <w:left w:val="nil"/>
              <w:bottom w:val="nil"/>
              <w:right w:val="nil"/>
            </w:tcBorders>
            <w:shd w:val="clear" w:color="auto" w:fill="auto"/>
          </w:tcPr>
          <w:p w:rsidR="00D743AB" w:rsidRDefault="00D743AB" w:rsidP="003544EA">
            <w:pPr>
              <w:spacing w:line="240" w:lineRule="auto"/>
              <w:jc w:val="both"/>
              <w:rPr>
                <w:rFonts w:ascii="Palatino Linotype" w:eastAsia="Palatino Linotype" w:hAnsi="Palatino Linotype" w:cs="Palatino Linotype"/>
                <w:sz w:val="20"/>
              </w:rPr>
            </w:pPr>
          </w:p>
        </w:tc>
        <w:tc>
          <w:tcPr>
            <w:tcW w:w="7053" w:type="dxa"/>
            <w:tcBorders>
              <w:top w:val="single" w:sz="4" w:space="0" w:color="000000"/>
              <w:left w:val="nil"/>
              <w:bottom w:val="single" w:sz="4" w:space="0" w:color="000000"/>
              <w:right w:val="nil"/>
            </w:tcBorders>
            <w:shd w:val="clear" w:color="auto" w:fill="auto"/>
          </w:tcPr>
          <w:p w:rsidR="00D743AB" w:rsidRDefault="00D743AB" w:rsidP="003544EA">
            <w:pPr>
              <w:spacing w:line="240" w:lineRule="auto"/>
              <w:ind w:right="-108"/>
              <w:jc w:val="both"/>
              <w:rPr>
                <w:rFonts w:ascii="Palatino Linotype" w:eastAsia="Palatino Linotype" w:hAnsi="Palatino Linotype" w:cs="Palatino Linotype"/>
                <w:sz w:val="20"/>
              </w:rPr>
            </w:pPr>
            <w:r>
              <w:rPr>
                <w:rFonts w:ascii="Cambria" w:eastAsia="Cambria" w:hAnsi="Cambria" w:cs="Cambria"/>
                <w:b/>
              </w:rPr>
              <w:t xml:space="preserve">© </w:t>
            </w:r>
            <w:r>
              <w:rPr>
                <w:rFonts w:ascii="Palatino Linotype" w:eastAsia="Palatino Linotype" w:hAnsi="Palatino Linotype" w:cs="Palatino Linotype"/>
                <w:b/>
              </w:rPr>
              <w:t>2024 by the authors</w:t>
            </w:r>
            <w:r>
              <w:rPr>
                <w:rFonts w:ascii="Palatino Linotype" w:eastAsia="Palatino Linotype" w:hAnsi="Palatino Linotype" w:cs="Palatino Linotype"/>
              </w:rPr>
              <w:t xml:space="preserve">. Submitted for possible open access publication under the terms and conditions of the Creative Commons Attribution 4.0 International (CC BY SA) license, </w:t>
            </w:r>
            <w:hyperlink r:id="rId9">
              <w:r>
                <w:rPr>
                  <w:rFonts w:ascii="Palatino Linotype" w:eastAsia="Palatino Linotype" w:hAnsi="Palatino Linotype" w:cs="Palatino Linotype"/>
                  <w:color w:val="000000"/>
                </w:rPr>
                <w:t>https://creativecommons.org/licenses/by-sa/4.0/</w:t>
              </w:r>
            </w:hyperlink>
            <w:r>
              <w:rPr>
                <w:rFonts w:ascii="Palatino Linotype" w:eastAsia="Palatino Linotype" w:hAnsi="Palatino Linotype" w:cs="Palatino Linotype"/>
              </w:rPr>
              <w:t>.</w:t>
            </w:r>
          </w:p>
        </w:tc>
      </w:tr>
    </w:tbl>
    <w:p w:rsidR="00D743AB" w:rsidRDefault="00D743AB" w:rsidP="00D743AB">
      <w:pPr>
        <w:spacing w:line="240" w:lineRule="auto"/>
        <w:rPr>
          <w:rFonts w:ascii="Palatino Linotype" w:eastAsia="Palatino Linotype" w:hAnsi="Palatino Linotype" w:cs="Palatino Linotype"/>
        </w:rPr>
      </w:pPr>
    </w:p>
    <w:p w:rsidR="00D743AB" w:rsidRDefault="00D743AB" w:rsidP="00D743AB">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INTRODUCTION</w:t>
      </w:r>
    </w:p>
    <w:p w:rsidR="00D743AB" w:rsidRDefault="00D743AB" w:rsidP="00D743AB">
      <w:pPr>
        <w:spacing w:line="360" w:lineRule="auto"/>
        <w:ind w:firstLine="709"/>
        <w:jc w:val="both"/>
        <w:rPr>
          <w:rFonts w:ascii="Palatino Linotype" w:eastAsia="Palatino Linotype" w:hAnsi="Palatino Linotype" w:cs="Palatino Linotype"/>
        </w:rPr>
      </w:pPr>
      <w:r>
        <w:rPr>
          <w:rFonts w:ascii="Palatino Linotype" w:eastAsia="Palatino Linotype" w:hAnsi="Palatino Linotype" w:cs="Palatino Linotype"/>
        </w:rPr>
        <w:t>Pendidikan 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usia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merupakan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pondasi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penting</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 karena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periode</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adalah masa di mana otak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berkembang</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sangat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optimal. Salah satu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aspek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perkembangan yang penting pada usia 4-5 tahun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adalah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 yaitu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memahami dan menggunakan simbol-simbol seperti huruf dan angka sebagai representasi dari objek nyata atau konsepa bstrak.</w:t>
      </w:r>
      <w:r>
        <w:rPr>
          <w:rFonts w:ascii="Palatino Linotype" w:eastAsia="Palatino Linotype" w:hAnsi="Palatino Linotype" w:cs="Palatino Linotype"/>
          <w:vertAlign w:val="superscript"/>
        </w:rPr>
        <w:footnoteReference w:id="2"/>
      </w:r>
      <w:r>
        <w:rPr>
          <w:rFonts w:ascii="Palatino Linotype" w:eastAsia="Palatino Linotype" w:hAnsi="Palatino Linotype" w:cs="Palatino Linotype"/>
        </w:rPr>
        <w:t xml:space="preserve"> Kemampuan berpikir simbolis menjadi dasar dari berbagai kemampuan kognitif lainnya, termasuk kemampuan membaca, menulis, dan berhitung, yang kelak menjadi keterampilan penting dalam pendidikan formal. Pada tahap ini, media pembelajaran yang kreatif dan interaktif sangat diperlukan untuk membantu anak dalam mengenal huruf dan angka dengan cara yang menyenangkan dan bermakna.</w:t>
      </w:r>
      <w:r>
        <w:rPr>
          <w:rFonts w:ascii="Palatino Linotype" w:eastAsia="Palatino Linotype" w:hAnsi="Palatino Linotype" w:cs="Palatino Linotype"/>
          <w:vertAlign w:val="superscript"/>
        </w:rPr>
        <w:footnoteReference w:id="3"/>
      </w:r>
    </w:p>
    <w:p w:rsidR="00D743AB" w:rsidRDefault="00D743AB" w:rsidP="00D743AB">
      <w:pPr>
        <w:spacing w:line="360" w:lineRule="auto"/>
        <w:ind w:firstLine="709"/>
        <w:jc w:val="both"/>
        <w:rPr>
          <w:rFonts w:ascii="Palatino Linotype" w:eastAsia="Palatino Linotype" w:hAnsi="Palatino Linotype" w:cs="Palatino Linotype"/>
        </w:rPr>
      </w:pPr>
      <w:r>
        <w:rPr>
          <w:rFonts w:ascii="Palatino Linotype" w:eastAsia="Palatino Linotype" w:hAnsi="Palatino Linotype" w:cs="Palatino Linotype"/>
        </w:rPr>
        <w:t>Seiring perkembangan teknologi berbagai media pembelajaran digital mulai digunakan dalam pembelajaran pada anak usia dini. Dari sekian banyak media, yang digunakan adalah Canva, sebuah media desain grafis yang dapat digunakan penggunanya untuk membuat berbagai materi visual dengan mudah dan menarik. Canva dapat digunakan oleh guru dalam membuat media pembelajaran interaktif yang kaya akan gambar, warna, dan elemen-elemen visual lainnya yang dapat merangsang daya imajinasi serta kemampuan berpikir simboli sanak.</w:t>
      </w:r>
      <w:r>
        <w:rPr>
          <w:rFonts w:ascii="Palatino Linotype" w:eastAsia="Palatino Linotype" w:hAnsi="Palatino Linotype" w:cs="Palatino Linotype"/>
          <w:vertAlign w:val="superscript"/>
        </w:rPr>
        <w:footnoteReference w:id="4"/>
      </w:r>
      <w:r>
        <w:rPr>
          <w:rFonts w:ascii="Palatino Linotype" w:eastAsia="Palatino Linotype" w:hAnsi="Palatino Linotype" w:cs="Palatino Linotype"/>
        </w:rPr>
        <w:t xml:space="preserve"> Namun, meskipun Canva telah banyak dikenal dalam dunia desain, kajian mengenai pengaruh penggunaan Canva dalam meningkatkan kemampuan berpikir simbolis anak usia dini masih relatif terbatas.</w:t>
      </w:r>
      <w:r>
        <w:rPr>
          <w:rFonts w:ascii="Palatino Linotype" w:eastAsia="Palatino Linotype" w:hAnsi="Palatino Linotype" w:cs="Palatino Linotype"/>
          <w:vertAlign w:val="superscript"/>
        </w:rPr>
        <w:footnoteReference w:id="5"/>
      </w:r>
    </w:p>
    <w:p w:rsidR="00D743AB" w:rsidRDefault="00D743AB" w:rsidP="00D743AB">
      <w:pPr>
        <w:spacing w:line="360" w:lineRule="auto"/>
        <w:ind w:firstLine="709"/>
        <w:jc w:val="both"/>
        <w:rPr>
          <w:rFonts w:ascii="Palatino Linotype" w:eastAsia="Palatino Linotype" w:hAnsi="Palatino Linotype" w:cs="Palatino Linotype"/>
        </w:rPr>
      </w:pPr>
      <w:r>
        <w:rPr>
          <w:rFonts w:ascii="Palatino Linotype" w:eastAsia="Palatino Linotype" w:hAnsi="Palatino Linotype" w:cs="Palatino Linotype"/>
        </w:rPr>
        <w:lastRenderedPageBreak/>
        <w:t>Anak usia 4-5 tahun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ada pada masa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kognitif</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 xml:space="preserve"> yang disebut oleh Piaget sebagai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tahapan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praoperasional. Pada tahap</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 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mulai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menggunakan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 di mana mereka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mampu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menggunakan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simbol-simbol</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seperti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huruf, kata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atau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gambar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mewakili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objek dan konsep.</w:t>
      </w:r>
      <w:r>
        <w:rPr>
          <w:rFonts w:ascii="Palatino Linotype" w:eastAsia="Palatino Linotype" w:hAnsi="Palatino Linotype" w:cs="Palatino Linotype"/>
          <w:vertAlign w:val="superscript"/>
        </w:rPr>
        <w:footnoteReference w:id="6"/>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merupakan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dasarpenting</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bagi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literasi dan numerasi di masa depan. Namun, tidak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semua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 pada usia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mampu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cepat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mengenali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huruf dan angka, sehingga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diperlukan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metode</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pembelajaran yang inovatif dan menarik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membantu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mereka.</w:t>
      </w:r>
      <w:r>
        <w:rPr>
          <w:rFonts w:ascii="Palatino Linotype" w:eastAsia="Palatino Linotype" w:hAnsi="Palatino Linotype" w:cs="Palatino Linotype"/>
          <w:vertAlign w:val="superscript"/>
        </w:rPr>
        <w:footnoteReference w:id="7"/>
      </w:r>
    </w:p>
    <w:p w:rsidR="00D743AB" w:rsidRDefault="00D743AB" w:rsidP="00D743AB">
      <w:pPr>
        <w:spacing w:line="360" w:lineRule="auto"/>
        <w:ind w:firstLine="709"/>
        <w:jc w:val="both"/>
        <w:rPr>
          <w:rFonts w:ascii="Palatino Linotype" w:eastAsia="Palatino Linotype" w:hAnsi="Palatino Linotype" w:cs="Palatino Linotype"/>
        </w:rPr>
      </w:pPr>
      <w:r>
        <w:rPr>
          <w:rFonts w:ascii="Palatino Linotype" w:eastAsia="Palatino Linotype" w:hAnsi="Palatino Linotype" w:cs="Palatino Linotype"/>
        </w:rPr>
        <w:t>Masalah yang seringdihadapi di beberapa TK (Taman Kanak-kanak) adalah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kurangnya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variasi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 media pembelajaran yang digunakan. Berdasarkan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observasi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awal di TK An Nur ditemukan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banyak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mengalami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kesulitan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mengenali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secara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 Sebagian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besar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metode</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pengajaran yang digunakan di TK tersebut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masih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bersifat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konvensional, yaitu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menggunakan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buku-buku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cetak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atau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papan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tulis yang terbatas</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menstimulasi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minat dan imajinasi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 Padahal, pada usia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 anak-anak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cenderung</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responsif</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terhadap media pembelajaran yang melibatkan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visualisasi dan interaksi yang lebih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dinamis. Kurangnya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variasi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 media pembelajaran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berpotensi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menghambat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w:t>
      </w:r>
    </w:p>
    <w:p w:rsidR="00D743AB" w:rsidRDefault="00D743AB" w:rsidP="00D743AB">
      <w:pPr>
        <w:spacing w:line="360" w:lineRule="auto"/>
        <w:ind w:firstLine="709"/>
        <w:jc w:val="both"/>
        <w:rPr>
          <w:rFonts w:ascii="Palatino Linotype" w:eastAsia="Palatino Linotype" w:hAnsi="Palatino Linotype" w:cs="Palatino Linotype"/>
        </w:rPr>
      </w:pPr>
      <w:r>
        <w:rPr>
          <w:rFonts w:ascii="Palatino Linotype" w:eastAsia="Palatino Linotype" w:hAnsi="Palatino Linotype" w:cs="Palatino Linotype"/>
        </w:rPr>
        <w:t>Dari sekian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banyak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pendekatan yang dapat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diambil</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sebagai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solusi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masalah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adalah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memanfaatkan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teknologi digital, seperti Canva, dalam</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pembelajaran di kelas. Canva menawarkan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berbagai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fitur yang dimanfaatkan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menciptakan media pembelajaran yang interaktif dan menarik, seperti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pembuatan flashcards digital, poster edukatif, hingga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permainan visual yang melibatkan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r>
        <w:rPr>
          <w:rFonts w:ascii="Palatino Linotype" w:eastAsia="Palatino Linotype" w:hAnsi="Palatino Linotype" w:cs="Palatino Linotype"/>
          <w:vertAlign w:val="superscript"/>
        </w:rPr>
        <w:footnoteReference w:id="8"/>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Melalui Canva, guru dapat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merancang media pembelajaran yang dapat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disesuaikan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 xml:space="preserve">kebutuhan dan </w:t>
      </w:r>
      <w:r>
        <w:rPr>
          <w:rFonts w:ascii="Palatino Linotype" w:eastAsia="Palatino Linotype" w:hAnsi="Palatino Linotype" w:cs="Palatino Linotype"/>
        </w:rPr>
        <w:lastRenderedPageBreak/>
        <w:t>minatanak, sehingga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dapat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motivasi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belajar dan 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mereka.</w:t>
      </w:r>
    </w:p>
    <w:p w:rsidR="00D743AB" w:rsidRDefault="00D743AB" w:rsidP="00D743AB">
      <w:pPr>
        <w:spacing w:line="360" w:lineRule="auto"/>
        <w:ind w:firstLine="709"/>
        <w:jc w:val="both"/>
        <w:rPr>
          <w:rFonts w:ascii="Palatino Linotype" w:eastAsia="Palatino Linotype" w:hAnsi="Palatino Linotype" w:cs="Palatino Linotype"/>
        </w:rPr>
      </w:pPr>
      <w:r>
        <w:rPr>
          <w:rFonts w:ascii="Palatino Linotype" w:eastAsia="Palatino Linotype" w:hAnsi="Palatino Linotype" w:cs="Palatino Linotype"/>
        </w:rPr>
        <w:t>Beberapa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terdahulu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mendukung</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pemanfaatan Canva sebagai media pembelajaran yang tepat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 Penelitian yang dilakukan oleh Enramika (2023) menjelaskan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penggunaan Canva dalam</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kegiatan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membantu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minat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terhadap</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materi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pengenalan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melalui visual yang menarik dan interaktif.</w:t>
      </w:r>
      <w:r>
        <w:rPr>
          <w:rFonts w:ascii="Palatino Linotype" w:eastAsia="Palatino Linotype" w:hAnsi="Palatino Linotype" w:cs="Palatino Linotype"/>
          <w:vertAlign w:val="superscript"/>
        </w:rPr>
        <w:footnoteReference w:id="9"/>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Studidari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Mudinillah (2021) menemukan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bahwa media digital seperti Canva dapat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keterlibatan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 proses belajar, karena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mereka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termotivasi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berpartisipas</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iaktif</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saat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berinteraksi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elemen visual dan permainan yang disediakan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melalui Canva.</w:t>
      </w:r>
      <w:r>
        <w:rPr>
          <w:rFonts w:ascii="Palatino Linotype" w:eastAsia="Palatino Linotype" w:hAnsi="Palatino Linotype" w:cs="Palatino Linotype"/>
          <w:vertAlign w:val="superscript"/>
        </w:rPr>
        <w:footnoteReference w:id="10"/>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Rifki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Zaitul (2023) mengungkapkan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bahwa Canva memungkinkan guru untuk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merancang media pembelajaran yang lebih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kreatif, sehingga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anak-anak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dapat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mudah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memahami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konsep</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seperti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huruf dan angka, serta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menghubungkannya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objek di kehidupan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sehari-hari.</w:t>
      </w:r>
      <w:r>
        <w:rPr>
          <w:rFonts w:ascii="Palatino Linotype" w:eastAsia="Palatino Linotype" w:hAnsi="Palatino Linotype" w:cs="Palatino Linotype"/>
          <w:vertAlign w:val="superscript"/>
        </w:rPr>
        <w:footnoteReference w:id="11"/>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Berdasarkan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beberapa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memperlihatkan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bahwa Canva memiliki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kemungkinan yang</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besar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sebagai media pembelajaran yang mendukung</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 pada anakusia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dini.</w:t>
      </w:r>
    </w:p>
    <w:p w:rsidR="00D743AB" w:rsidRDefault="00D743AB" w:rsidP="009143B0">
      <w:pPr>
        <w:spacing w:line="360" w:lineRule="auto"/>
        <w:ind w:firstLine="709"/>
        <w:jc w:val="both"/>
        <w:rPr>
          <w:rFonts w:ascii="Palatino Linotype" w:eastAsia="Palatino Linotype" w:hAnsi="Palatino Linotype" w:cs="Palatino Linotype"/>
        </w:rPr>
      </w:pPr>
      <w:r>
        <w:rPr>
          <w:rFonts w:ascii="Palatino Linotype" w:eastAsia="Palatino Linotype" w:hAnsi="Palatino Linotype" w:cs="Palatino Linotype"/>
        </w:rPr>
        <w:t>Penelitian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dilakukan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tujuan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mengkaji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pengaruh</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penggunaan media Canva terhadap</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 yang</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berusia 4-5 tahun, khususnya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pengenalan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huruf dan angka di TK An Nur. Penelitian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penting</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memberikan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kontribusi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empiris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mengenai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efektivitas media digital 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mendukung</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kognitif</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 khususnya pada kemampuan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simbolis yang menjadi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dasar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literasi dan numerasi di masa depan. Harapan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dilakukannya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dapat</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memberikan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rekomendasi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praktis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bagi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pendidik dan orang tua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lastRenderedPageBreak/>
        <w:t>memanfaatkan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teknologi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secara optimal untuk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mendukung</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 serta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membantu</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institusi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pendidikan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usia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meningkatka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nkualitas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pembelajaran yang interaktif dan menyenangkan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bagi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anak-anak di Indonesia.</w:t>
      </w:r>
    </w:p>
    <w:p w:rsidR="00D743AB" w:rsidRDefault="00D743AB" w:rsidP="00D743AB">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METHOD </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Metode</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ialah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metode</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eksperimen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desain</w:t>
      </w:r>
      <w:r w:rsidR="003544EA">
        <w:rPr>
          <w:rFonts w:ascii="Palatino Linotype" w:eastAsia="Palatino Linotype" w:hAnsi="Palatino Linotype" w:cs="Palatino Linotype"/>
        </w:rPr>
        <w:t xml:space="preserve"> </w:t>
      </w:r>
      <w:r>
        <w:rPr>
          <w:rFonts w:ascii="Palatino Linotype" w:eastAsia="Palatino Linotype" w:hAnsi="Palatino Linotype" w:cs="Palatino Linotype"/>
          <w:i/>
        </w:rPr>
        <w:t>pre-test</w:t>
      </w:r>
      <w:r>
        <w:rPr>
          <w:rFonts w:ascii="Palatino Linotype" w:eastAsia="Palatino Linotype" w:hAnsi="Palatino Linotype" w:cs="Palatino Linotype"/>
        </w:rPr>
        <w:t xml:space="preserve"> dan </w:t>
      </w:r>
      <w:r>
        <w:rPr>
          <w:rFonts w:ascii="Palatino Linotype" w:eastAsia="Palatino Linotype" w:hAnsi="Palatino Linotype" w:cs="Palatino Linotype"/>
          <w:i/>
        </w:rPr>
        <w:t>post-test</w:t>
      </w:r>
      <w:r w:rsidR="003544EA">
        <w:rPr>
          <w:rFonts w:ascii="Palatino Linotype" w:eastAsia="Palatino Linotype" w:hAnsi="Palatino Linotype" w:cs="Palatino Linotype"/>
          <w:i/>
        </w:rPr>
        <w:t xml:space="preserve"> </w:t>
      </w:r>
      <w:r>
        <w:rPr>
          <w:rFonts w:ascii="Palatino Linotype" w:eastAsia="Palatino Linotype" w:hAnsi="Palatino Linotype" w:cs="Palatino Linotype"/>
        </w:rPr>
        <w:t>kelompok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kontrol. Tujuan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menguji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pengaruh</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penggunaan media Canva terhadap</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simbolis pada anakusia 4-5 tahun di TK An Nur.</w:t>
      </w:r>
      <w:r>
        <w:rPr>
          <w:rFonts w:ascii="Palatino Linotype" w:eastAsia="Palatino Linotype" w:hAnsi="Palatino Linotype" w:cs="Palatino Linotype"/>
          <w:vertAlign w:val="superscript"/>
        </w:rPr>
        <w:footnoteReference w:id="12"/>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Populasi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adalah 40 anak yang terdaftar di TK An Nur pada tahun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ajaran 2024/2025. Populasi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tersebut</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kemudian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dibagi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menjadi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dua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secara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acak, yaitu</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eksperimen dan kelompok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control dimana</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eksperimen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terdiri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dari 20 anak yang akan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mendapatkan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menggunakan media Canva selama 8 minggu, sedangkan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kontrol, yang juga berjumlah 20 anak, akan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mengikuti</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konvensional</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dengan media cetak dan papan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tulis. Kegiata</w:t>
      </w:r>
      <w:r w:rsidR="003544EA">
        <w:rPr>
          <w:rFonts w:ascii="Palatino Linotype" w:eastAsia="Palatino Linotype" w:hAnsi="Palatino Linotype" w:cs="Palatino Linotype"/>
        </w:rPr>
        <w:t xml:space="preserve">n </w:t>
      </w:r>
      <w:r>
        <w:rPr>
          <w:rFonts w:ascii="Palatino Linotype" w:eastAsia="Palatino Linotype" w:hAnsi="Palatino Linotype" w:cs="Palatino Linotype"/>
        </w:rPr>
        <w:t>pembelajaran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difokuskan pada pengenalan</w:t>
      </w:r>
      <w:r w:rsidR="003544EA">
        <w:rPr>
          <w:rFonts w:ascii="Palatino Linotype" w:eastAsia="Palatino Linotype" w:hAnsi="Palatino Linotype" w:cs="Palatino Linotype"/>
        </w:rPr>
        <w:t xml:space="preserve"> </w:t>
      </w:r>
      <w:r>
        <w:rPr>
          <w:rFonts w:ascii="Palatino Linotype" w:eastAsia="Palatino Linotype" w:hAnsi="Palatino Linotype" w:cs="Palatino Linotype"/>
        </w:rPr>
        <w:t>huruf dan angka, di mana kemampuan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diuji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sebelum dan sesudah</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perlakuan pada kedua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kelompok.</w:t>
      </w:r>
      <w:r>
        <w:rPr>
          <w:rFonts w:ascii="Palatino Linotype" w:eastAsia="Palatino Linotype" w:hAnsi="Palatino Linotype" w:cs="Palatino Linotype"/>
          <w:vertAlign w:val="superscript"/>
        </w:rPr>
        <w:footnoteReference w:id="13"/>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Instrumen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pengumpulan data yang digunakan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adalah</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tes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simbolis yang disesuaikan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usia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 yang terdiri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serangkaian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tugas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pengenalan dan penggunaanhurufsertaangkadalamkontekssimbolis. Pengukuran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dilakukan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dua kali, yaitu</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sebelum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perlakuan (pre-test) dan setelah</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perlakuan (post-test), untuk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mengukur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perubahan yang terjadi.</w:t>
      </w:r>
      <w:r>
        <w:rPr>
          <w:rFonts w:ascii="Palatino Linotype" w:eastAsia="Palatino Linotype" w:hAnsi="Palatino Linotype" w:cs="Palatino Linotype"/>
          <w:vertAlign w:val="superscript"/>
        </w:rPr>
        <w:footnoteReference w:id="14"/>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Observasi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langsung</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selama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kegiatan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pembelajaran juga dilakukan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melihat</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keterlibatan dan respon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terhadap media Canva. Harapan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dapat</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memberikan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bukti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empiris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mengenai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efesiensi media Canva dalammendukungperkembangankemampuanberpikirsimbolispada anakusia 4-5 tahun, khususnya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pengenalan dan penggunaan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huruf</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serta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angka.</w:t>
      </w:r>
    </w:p>
    <w:p w:rsidR="00D743AB" w:rsidRDefault="00D743AB" w:rsidP="00D743AB">
      <w:pPr>
        <w:spacing w:before="240" w:after="240"/>
        <w:jc w:val="both"/>
        <w:rPr>
          <w:rFonts w:ascii="Palatino Linotype" w:eastAsia="Palatino Linotype" w:hAnsi="Palatino Linotype" w:cs="Palatino Linotype"/>
          <w:b/>
        </w:rPr>
      </w:pPr>
      <w:r>
        <w:rPr>
          <w:rFonts w:ascii="Palatino Linotype" w:eastAsia="Palatino Linotype" w:hAnsi="Palatino Linotype" w:cs="Palatino Linotype"/>
          <w:b/>
        </w:rPr>
        <w:t>RESULTS AND DISCUSSION</w:t>
      </w:r>
    </w:p>
    <w:p w:rsidR="00D743AB" w:rsidRDefault="00D743AB" w:rsidP="00D743AB">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b/>
        </w:rPr>
        <w:lastRenderedPageBreak/>
        <w:t>Hasil Penelitian</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Anak di TK An Nur menjalani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pendekatan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eksperimen yang menggunakan media Canva sebagaialat bantu pengenalan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huruf dan angka. Proses 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diawali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pelaksanaan</w:t>
      </w:r>
      <w:r w:rsidR="009143B0">
        <w:rPr>
          <w:rFonts w:ascii="Palatino Linotype" w:eastAsia="Palatino Linotype" w:hAnsi="Palatino Linotype" w:cs="Palatino Linotype"/>
        </w:rPr>
        <w:t xml:space="preserve"> </w:t>
      </w:r>
      <w:r>
        <w:rPr>
          <w:rFonts w:ascii="Palatino Linotype" w:eastAsia="Palatino Linotype" w:hAnsi="Palatino Linotype" w:cs="Palatino Linotype"/>
          <w:i/>
        </w:rPr>
        <w:t>pre-test</w:t>
      </w:r>
      <w:r>
        <w:rPr>
          <w:rFonts w:ascii="Palatino Linotype" w:eastAsia="Palatino Linotype" w:hAnsi="Palatino Linotype" w:cs="Palatino Linotype"/>
        </w:rPr>
        <w:t xml:space="preserve"> yang terdiri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serangkaian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tugas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pengenalan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simbol, seperti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mengidentifikasi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melalui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gambar, serta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menyebutkan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 xml:space="preserve">huruf </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yang terdapat pada berbagai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bendas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ehari-hari, dengan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skala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penilaian 100 poin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menentukan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kapasitas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awal</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mereka. Setelah mengetahui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awal</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 mereka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kemudian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diajarkan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menggunakan media Canva, di mana guru memanfaatkan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berbagai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elemen visual interaktif, seperti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gambar dan animasi, untuk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memperkenalkan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konteks yang menyenangkan. Pembelajaran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berlangsung</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selama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beberapa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minggu</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berbagai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sesi yang melibatkan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partisipasi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aktif</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menggunakan media tersebut. Pada sesi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terakhir, anak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diberikan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i/>
        </w:rPr>
        <w:t>post-test</w:t>
      </w:r>
      <w:r>
        <w:rPr>
          <w:rFonts w:ascii="Palatino Linotype" w:eastAsia="Palatino Linotype" w:hAnsi="Palatino Linotype" w:cs="Palatino Linotype"/>
        </w:rPr>
        <w:t xml:space="preserve"> yang juga terdiri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serangkaian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tugas yang serupa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pre-test</w:t>
      </w:r>
      <w:r>
        <w:rPr>
          <w:rFonts w:ascii="Palatino Linotype" w:eastAsia="Palatino Linotype" w:hAnsi="Palatino Linotype" w:cs="Palatino Linotype"/>
        </w:rPr>
        <w:t>, namun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bentuk yang lebih</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kompleks, untuk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mengukur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peningkatan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setelah</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perlakuan. Tes</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ini juga menggunakan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skala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penilaian 100 poin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mengevaluasi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 xml:space="preserve">mereka. Nilai </w:t>
      </w:r>
      <w:r>
        <w:rPr>
          <w:rFonts w:ascii="Palatino Linotype" w:eastAsia="Palatino Linotype" w:hAnsi="Palatino Linotype" w:cs="Palatino Linotype"/>
          <w:i/>
        </w:rPr>
        <w:t>pre-test</w:t>
      </w:r>
      <w:r>
        <w:rPr>
          <w:rFonts w:ascii="Palatino Linotype" w:eastAsia="Palatino Linotype" w:hAnsi="Palatino Linotype" w:cs="Palatino Linotype"/>
        </w:rPr>
        <w:t xml:space="preserve"> dan </w:t>
      </w:r>
      <w:r>
        <w:rPr>
          <w:rFonts w:ascii="Palatino Linotype" w:eastAsia="Palatino Linotype" w:hAnsi="Palatino Linotype" w:cs="Palatino Linotype"/>
          <w:i/>
        </w:rPr>
        <w:t>post-test</w:t>
      </w:r>
      <w:r w:rsidR="000866CB">
        <w:rPr>
          <w:rFonts w:ascii="Palatino Linotype" w:eastAsia="Palatino Linotype" w:hAnsi="Palatino Linotype" w:cs="Palatino Linotype"/>
          <w:i/>
        </w:rPr>
        <w:t xml:space="preserve"> </w:t>
      </w:r>
      <w:r>
        <w:rPr>
          <w:rFonts w:ascii="Palatino Linotype" w:eastAsia="Palatino Linotype" w:hAnsi="Palatino Linotype" w:cs="Palatino Linotype"/>
        </w:rPr>
        <w:t>anak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kemudian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dirangkum</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tabel</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berikut</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melihat</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perbandingan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hasil dan dampak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penggunaan Canva terhadap</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simboli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sanak :</w:t>
      </w:r>
    </w:p>
    <w:p w:rsidR="00D743AB" w:rsidRDefault="00D743AB" w:rsidP="00D743AB">
      <w:pPr>
        <w:spacing w:line="240" w:lineRule="auto"/>
        <w:jc w:val="center"/>
        <w:rPr>
          <w:rFonts w:ascii="Garamond" w:eastAsia="Garamond" w:hAnsi="Garamond" w:cs="Garamond"/>
          <w:sz w:val="24"/>
          <w:szCs w:val="24"/>
        </w:rPr>
      </w:pPr>
      <w:r>
        <w:rPr>
          <w:rFonts w:ascii="Garamond" w:eastAsia="Garamond" w:hAnsi="Garamond" w:cs="Garamond"/>
          <w:b/>
          <w:sz w:val="24"/>
          <w:szCs w:val="24"/>
        </w:rPr>
        <w:t>Table 1.</w:t>
      </w:r>
      <w:r>
        <w:rPr>
          <w:rFonts w:ascii="Garamond" w:eastAsia="Garamond" w:hAnsi="Garamond" w:cs="Garamond"/>
          <w:sz w:val="24"/>
          <w:szCs w:val="24"/>
        </w:rPr>
        <w:t>StatistikDeskriptif Hasil Kelas Eksperimen</w:t>
      </w:r>
    </w:p>
    <w:tbl>
      <w:tblPr>
        <w:tblW w:w="68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94"/>
        <w:gridCol w:w="2279"/>
        <w:gridCol w:w="1930"/>
      </w:tblGrid>
      <w:tr w:rsidR="00D743AB" w:rsidTr="003544EA">
        <w:trPr>
          <w:jc w:val="center"/>
        </w:trPr>
        <w:tc>
          <w:tcPr>
            <w:tcW w:w="2594" w:type="dxa"/>
            <w:tcBorders>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STATISTIKA</w:t>
            </w:r>
          </w:p>
        </w:tc>
        <w:tc>
          <w:tcPr>
            <w:tcW w:w="2279" w:type="dxa"/>
            <w:tcBorders>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PRETEST</w:t>
            </w:r>
          </w:p>
        </w:tc>
        <w:tc>
          <w:tcPr>
            <w:tcW w:w="1930" w:type="dxa"/>
            <w:tcBorders>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POSTTEST</w:t>
            </w:r>
          </w:p>
        </w:tc>
      </w:tr>
      <w:tr w:rsidR="00D743AB" w:rsidTr="003544EA">
        <w:trPr>
          <w:jc w:val="center"/>
        </w:trPr>
        <w:tc>
          <w:tcPr>
            <w:tcW w:w="2594" w:type="dxa"/>
            <w:tcBorders>
              <w:top w:val="nil"/>
              <w:bottom w:val="nil"/>
            </w:tcBorders>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Jumlah</w:t>
            </w:r>
            <w:r>
              <w:rPr>
                <w:rFonts w:ascii="Palatino Linotype" w:eastAsia="Palatino Linotype" w:hAnsi="Palatino Linotype" w:cs="Palatino Linotype"/>
              </w:rPr>
              <w:t xml:space="preserve"> Anak</w:t>
            </w:r>
          </w:p>
        </w:tc>
        <w:tc>
          <w:tcPr>
            <w:tcW w:w="2279" w:type="dxa"/>
            <w:tcBorders>
              <w:top w:val="nil"/>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w:t>
            </w:r>
          </w:p>
        </w:tc>
        <w:tc>
          <w:tcPr>
            <w:tcW w:w="1930" w:type="dxa"/>
            <w:tcBorders>
              <w:top w:val="nil"/>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w:t>
            </w:r>
          </w:p>
        </w:tc>
      </w:tr>
      <w:tr w:rsidR="00D743AB" w:rsidTr="003544EA">
        <w:trPr>
          <w:jc w:val="center"/>
        </w:trPr>
        <w:tc>
          <w:tcPr>
            <w:tcW w:w="2594"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Jumlah</w:t>
            </w:r>
            <w:r w:rsidR="00EB5F8D">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nilai</w:t>
            </w:r>
          </w:p>
        </w:tc>
        <w:tc>
          <w:tcPr>
            <w:tcW w:w="227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2040</w:t>
            </w:r>
          </w:p>
        </w:tc>
        <w:tc>
          <w:tcPr>
            <w:tcW w:w="1930"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3050</w:t>
            </w:r>
          </w:p>
        </w:tc>
      </w:tr>
      <w:tr w:rsidR="00D743AB" w:rsidTr="003544EA">
        <w:trPr>
          <w:jc w:val="center"/>
        </w:trPr>
        <w:tc>
          <w:tcPr>
            <w:tcW w:w="2594"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Rata rata</w:t>
            </w:r>
          </w:p>
        </w:tc>
        <w:tc>
          <w:tcPr>
            <w:tcW w:w="227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50,10</w:t>
            </w:r>
          </w:p>
        </w:tc>
        <w:tc>
          <w:tcPr>
            <w:tcW w:w="1930"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76,25</w:t>
            </w:r>
          </w:p>
        </w:tc>
      </w:tr>
      <w:tr w:rsidR="00D743AB" w:rsidTr="003544EA">
        <w:trPr>
          <w:jc w:val="center"/>
        </w:trPr>
        <w:tc>
          <w:tcPr>
            <w:tcW w:w="2594"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rPr>
              <w:t>Standar</w:t>
            </w:r>
            <w:r w:rsidR="00EB5F8D">
              <w:rPr>
                <w:rFonts w:ascii="Palatino Linotype" w:eastAsia="Palatino Linotype" w:hAnsi="Palatino Linotype" w:cs="Palatino Linotype"/>
              </w:rPr>
              <w:t xml:space="preserve"> </w:t>
            </w:r>
            <w:r>
              <w:rPr>
                <w:rFonts w:ascii="Palatino Linotype" w:eastAsia="Palatino Linotype" w:hAnsi="Palatino Linotype" w:cs="Palatino Linotype"/>
                <w:color w:val="000000"/>
              </w:rPr>
              <w:t>deviasi</w:t>
            </w:r>
          </w:p>
        </w:tc>
        <w:tc>
          <w:tcPr>
            <w:tcW w:w="227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12,83</w:t>
            </w:r>
          </w:p>
        </w:tc>
        <w:tc>
          <w:tcPr>
            <w:tcW w:w="1930"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8,59</w:t>
            </w:r>
          </w:p>
        </w:tc>
      </w:tr>
      <w:tr w:rsidR="00D743AB" w:rsidTr="003544EA">
        <w:trPr>
          <w:jc w:val="center"/>
        </w:trPr>
        <w:tc>
          <w:tcPr>
            <w:tcW w:w="2594"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Nilai maksimum</w:t>
            </w:r>
          </w:p>
        </w:tc>
        <w:tc>
          <w:tcPr>
            <w:tcW w:w="227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70</w:t>
            </w:r>
          </w:p>
        </w:tc>
        <w:tc>
          <w:tcPr>
            <w:tcW w:w="1930"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100</w:t>
            </w:r>
          </w:p>
        </w:tc>
      </w:tr>
      <w:tr w:rsidR="00D743AB" w:rsidTr="003544EA">
        <w:trPr>
          <w:jc w:val="center"/>
        </w:trPr>
        <w:tc>
          <w:tcPr>
            <w:tcW w:w="2594"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Nilai minimum</w:t>
            </w:r>
          </w:p>
        </w:tc>
        <w:tc>
          <w:tcPr>
            <w:tcW w:w="227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30</w:t>
            </w:r>
          </w:p>
        </w:tc>
        <w:tc>
          <w:tcPr>
            <w:tcW w:w="1930"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70</w:t>
            </w:r>
          </w:p>
        </w:tc>
      </w:tr>
    </w:tbl>
    <w:p w:rsidR="00D743AB" w:rsidRDefault="00D743AB" w:rsidP="00D743AB">
      <w:pPr>
        <w:spacing w:line="240" w:lineRule="auto"/>
        <w:ind w:firstLine="720"/>
        <w:rPr>
          <w:rFonts w:ascii="Garamond" w:eastAsia="Garamond" w:hAnsi="Garamond" w:cs="Garamond"/>
          <w:sz w:val="24"/>
          <w:szCs w:val="24"/>
        </w:rPr>
      </w:pPr>
      <w:r>
        <w:rPr>
          <w:rFonts w:ascii="Garamond" w:eastAsia="Garamond" w:hAnsi="Garamond" w:cs="Garamond"/>
          <w:sz w:val="24"/>
          <w:szCs w:val="24"/>
        </w:rPr>
        <w:t>Source: Data Olahan (2024)</w:t>
      </w:r>
    </w:p>
    <w:p w:rsidR="00D743AB" w:rsidRDefault="00D743AB" w:rsidP="00D743AB">
      <w:pPr>
        <w:spacing w:line="360" w:lineRule="auto"/>
        <w:ind w:firstLine="720"/>
        <w:jc w:val="both"/>
        <w:rPr>
          <w:rFonts w:ascii="Palatino Linotype" w:eastAsia="Palatino Linotype" w:hAnsi="Palatino Linotype" w:cs="Palatino Linotype"/>
        </w:rPr>
      </w:pP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lastRenderedPageBreak/>
        <w:t>BerdasarkanTabel 1 yang menyajikan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statistik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deskriptif</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kelas</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eksperimen, terlihat</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adanya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peningkatan yang signifikan pada nilai</w:t>
      </w:r>
      <w:r w:rsidRPr="00E50989">
        <w:rPr>
          <w:rFonts w:ascii="Palatino Linotype" w:eastAsia="Palatino Linotype" w:hAnsi="Palatino Linotype" w:cs="Palatino Linotype"/>
          <w:i/>
          <w:iCs/>
        </w:rPr>
        <w:t>post-test</w:t>
      </w:r>
      <w:r w:rsidR="009143B0">
        <w:rPr>
          <w:rFonts w:ascii="Palatino Linotype" w:eastAsia="Palatino Linotype" w:hAnsi="Palatino Linotype" w:cs="Palatino Linotype"/>
          <w:i/>
          <w:iCs/>
        </w:rPr>
        <w:t xml:space="preserve"> </w:t>
      </w:r>
      <w:r>
        <w:rPr>
          <w:rFonts w:ascii="Palatino Linotype" w:eastAsia="Palatino Linotype" w:hAnsi="Palatino Linotype" w:cs="Palatino Linotype"/>
        </w:rPr>
        <w:t>dari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pada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nilai</w:t>
      </w:r>
      <w:r w:rsidR="009143B0">
        <w:rPr>
          <w:rFonts w:ascii="Palatino Linotype" w:eastAsia="Palatino Linotype" w:hAnsi="Palatino Linotype" w:cs="Palatino Linotype"/>
        </w:rPr>
        <w:t xml:space="preserve"> </w:t>
      </w:r>
      <w:r w:rsidRPr="00E50989">
        <w:rPr>
          <w:rFonts w:ascii="Palatino Linotype" w:eastAsia="Palatino Linotype" w:hAnsi="Palatino Linotype" w:cs="Palatino Linotype"/>
          <w:i/>
          <w:iCs/>
        </w:rPr>
        <w:t>pre-test</w:t>
      </w:r>
      <w:r w:rsidR="009143B0">
        <w:rPr>
          <w:rFonts w:ascii="Palatino Linotype" w:eastAsia="Palatino Linotype" w:hAnsi="Palatino Linotype" w:cs="Palatino Linotype"/>
          <w:i/>
          <w:iCs/>
        </w:rPr>
        <w:t xml:space="preserve"> </w:t>
      </w:r>
      <w:r>
        <w:rPr>
          <w:rFonts w:ascii="Palatino Linotype" w:eastAsia="Palatino Linotype" w:hAnsi="Palatino Linotype" w:cs="Palatino Linotype"/>
        </w:rPr>
        <w:t>setelah</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penggunaan media Canva dalam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pembelajaran. Pada pre-test, jumlah total nilai yang diperolehdari 20 anakadalah 2040 dengan rata-rata nilai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sebesar 50,10. Nilai ini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menunjukkan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sebelum</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mendapatkan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perlakuan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menggunakan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 xml:space="preserve"> media Canva, kemampuan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masihberada pada kategori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rendah</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hingga</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sedang, dengan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nilai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maksimum 70 dan minimum 30. Standar</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deviasi</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sebesar 12,83 menunjukkan</w:t>
      </w:r>
      <w:r w:rsidR="009143B0">
        <w:rPr>
          <w:rFonts w:ascii="Palatino Linotype" w:eastAsia="Palatino Linotype" w:hAnsi="Palatino Linotype" w:cs="Palatino Linotype"/>
        </w:rPr>
        <w:t xml:space="preserve"> </w:t>
      </w:r>
      <w:r>
        <w:rPr>
          <w:rFonts w:ascii="Palatino Linotype" w:eastAsia="Palatino Linotype" w:hAnsi="Palatino Linotype" w:cs="Palatino Linotype"/>
        </w:rPr>
        <w:t>adanya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variasi yang cukup</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besar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antar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awa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lmereka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memahami dan menggunakan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huruf</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serta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angka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sebagai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simbol.</w:t>
      </w:r>
    </w:p>
    <w:p w:rsidR="00B026E4" w:rsidRDefault="00D743AB" w:rsidP="00B026E4">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Setelah mengikuti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dengan media Canva hasil post-test menunjukkan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peningkatan yang signifikan. Jumlah total nilai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meningkat</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menjadi 3050, dengan rata-rata nilai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mencapai 76,25 yang mengindikasikan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peningkatan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simbolis pada sebagian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besar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anak. Nilai maksimum juga meningkat</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drastis</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dari 70 menjadi 100, menunjukkan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beberapa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mampu</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mencapai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performa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maksimal</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tugas</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simbolik. Selain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itu, nilai minimum yang sebelumnya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hanya 30 naik menjadi 70 yang menunjukkan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awal yang rendah</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mengalami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peningkatan yang cukup</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signifikan. Standar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deviasi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menurun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menjadi 8,59 yang menunjukkan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hasil post-test anak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homogen, atau</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dengan kata lain, terdapat</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kesenjangan yang lebih</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kecil</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antar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belajar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mereka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setelah</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menggunakan media Canva. Hasil ini</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mengindikasikan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penggunaan Canva sebagai media pembelajaran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efektif</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terhadap</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peningkatan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usia</w:t>
      </w:r>
      <w:r w:rsidR="000866CB">
        <w:rPr>
          <w:rFonts w:ascii="Palatino Linotype" w:eastAsia="Palatino Linotype" w:hAnsi="Palatino Linotype" w:cs="Palatino Linotype"/>
        </w:rPr>
        <w:t xml:space="preserve"> </w:t>
      </w:r>
      <w:r>
        <w:rPr>
          <w:rFonts w:ascii="Palatino Linotype" w:eastAsia="Palatino Linotype" w:hAnsi="Palatino Linotype" w:cs="Palatino Linotype"/>
        </w:rPr>
        <w:t>dini.</w:t>
      </w:r>
    </w:p>
    <w:p w:rsidR="00D743AB" w:rsidRDefault="00D743AB" w:rsidP="00D743AB">
      <w:pPr>
        <w:spacing w:line="240" w:lineRule="auto"/>
        <w:jc w:val="center"/>
        <w:rPr>
          <w:rFonts w:ascii="Garamond" w:eastAsia="Garamond" w:hAnsi="Garamond" w:cs="Garamond"/>
          <w:sz w:val="24"/>
          <w:szCs w:val="24"/>
        </w:rPr>
      </w:pPr>
      <w:r>
        <w:rPr>
          <w:rFonts w:ascii="Garamond" w:eastAsia="Garamond" w:hAnsi="Garamond" w:cs="Garamond"/>
          <w:b/>
          <w:sz w:val="24"/>
          <w:szCs w:val="24"/>
        </w:rPr>
        <w:t>Table 2.</w:t>
      </w:r>
      <w:r>
        <w:rPr>
          <w:rFonts w:ascii="Garamond" w:eastAsia="Garamond" w:hAnsi="Garamond" w:cs="Garamond"/>
          <w:sz w:val="24"/>
          <w:szCs w:val="24"/>
        </w:rPr>
        <w:t>StatistikDeskriptif Kelas Kontrol</w:t>
      </w:r>
    </w:p>
    <w:tbl>
      <w:tblPr>
        <w:tblW w:w="66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7"/>
        <w:gridCol w:w="1845"/>
        <w:gridCol w:w="2319"/>
      </w:tblGrid>
      <w:tr w:rsidR="00D743AB" w:rsidTr="003544EA">
        <w:trPr>
          <w:jc w:val="center"/>
        </w:trPr>
        <w:tc>
          <w:tcPr>
            <w:tcW w:w="2497" w:type="dxa"/>
            <w:tcBorders>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STATISTIKA</w:t>
            </w:r>
          </w:p>
        </w:tc>
        <w:tc>
          <w:tcPr>
            <w:tcW w:w="1845" w:type="dxa"/>
            <w:tcBorders>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PRETEST</w:t>
            </w:r>
          </w:p>
        </w:tc>
        <w:tc>
          <w:tcPr>
            <w:tcW w:w="2319" w:type="dxa"/>
            <w:tcBorders>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POSTTEST</w:t>
            </w:r>
          </w:p>
        </w:tc>
      </w:tr>
      <w:tr w:rsidR="00D743AB" w:rsidTr="003544EA">
        <w:trPr>
          <w:jc w:val="center"/>
        </w:trPr>
        <w:tc>
          <w:tcPr>
            <w:tcW w:w="2497" w:type="dxa"/>
            <w:tcBorders>
              <w:top w:val="nil"/>
              <w:bottom w:val="nil"/>
            </w:tcBorders>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JumlahAnak</w:t>
            </w:r>
          </w:p>
        </w:tc>
        <w:tc>
          <w:tcPr>
            <w:tcW w:w="1845" w:type="dxa"/>
            <w:tcBorders>
              <w:top w:val="nil"/>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w:t>
            </w:r>
          </w:p>
        </w:tc>
        <w:tc>
          <w:tcPr>
            <w:tcW w:w="2319" w:type="dxa"/>
            <w:tcBorders>
              <w:top w:val="nil"/>
              <w:bottom w:val="nil"/>
            </w:tcBorders>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w:t>
            </w:r>
          </w:p>
        </w:tc>
      </w:tr>
      <w:tr w:rsidR="00D743AB" w:rsidTr="003544EA">
        <w:trPr>
          <w:jc w:val="center"/>
        </w:trPr>
        <w:tc>
          <w:tcPr>
            <w:tcW w:w="2497"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Jumlah</w:t>
            </w:r>
            <w:r w:rsidR="00EB5F8D">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nilai</w:t>
            </w:r>
          </w:p>
        </w:tc>
        <w:tc>
          <w:tcPr>
            <w:tcW w:w="1845"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1802</w:t>
            </w:r>
          </w:p>
        </w:tc>
        <w:tc>
          <w:tcPr>
            <w:tcW w:w="231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2006</w:t>
            </w:r>
          </w:p>
        </w:tc>
      </w:tr>
      <w:tr w:rsidR="00D743AB" w:rsidTr="003544EA">
        <w:trPr>
          <w:jc w:val="center"/>
        </w:trPr>
        <w:tc>
          <w:tcPr>
            <w:tcW w:w="2497"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Rata rata</w:t>
            </w:r>
          </w:p>
        </w:tc>
        <w:tc>
          <w:tcPr>
            <w:tcW w:w="1845"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50,05</w:t>
            </w:r>
          </w:p>
        </w:tc>
        <w:tc>
          <w:tcPr>
            <w:tcW w:w="231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55,72</w:t>
            </w:r>
          </w:p>
        </w:tc>
      </w:tr>
      <w:tr w:rsidR="00D743AB" w:rsidTr="003544EA">
        <w:trPr>
          <w:jc w:val="center"/>
        </w:trPr>
        <w:tc>
          <w:tcPr>
            <w:tcW w:w="2497"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rPr>
              <w:t>Standar</w:t>
            </w:r>
            <w:r w:rsidR="00EB5F8D">
              <w:rPr>
                <w:rFonts w:ascii="Palatino Linotype" w:eastAsia="Palatino Linotype" w:hAnsi="Palatino Linotype" w:cs="Palatino Linotype"/>
              </w:rPr>
              <w:t xml:space="preserve"> </w:t>
            </w:r>
            <w:r>
              <w:rPr>
                <w:rFonts w:ascii="Palatino Linotype" w:eastAsia="Palatino Linotype" w:hAnsi="Palatino Linotype" w:cs="Palatino Linotype"/>
                <w:color w:val="000000"/>
              </w:rPr>
              <w:t>deviasi</w:t>
            </w:r>
          </w:p>
        </w:tc>
        <w:tc>
          <w:tcPr>
            <w:tcW w:w="1845"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11,50</w:t>
            </w:r>
          </w:p>
        </w:tc>
        <w:tc>
          <w:tcPr>
            <w:tcW w:w="231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14,10</w:t>
            </w:r>
          </w:p>
        </w:tc>
      </w:tr>
      <w:tr w:rsidR="00D743AB" w:rsidTr="003544EA">
        <w:trPr>
          <w:jc w:val="center"/>
        </w:trPr>
        <w:tc>
          <w:tcPr>
            <w:tcW w:w="2497"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Nilai maksimum</w:t>
            </w:r>
          </w:p>
        </w:tc>
        <w:tc>
          <w:tcPr>
            <w:tcW w:w="1845"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70</w:t>
            </w:r>
          </w:p>
        </w:tc>
        <w:tc>
          <w:tcPr>
            <w:tcW w:w="231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80</w:t>
            </w:r>
          </w:p>
        </w:tc>
      </w:tr>
      <w:tr w:rsidR="00D743AB" w:rsidTr="003544EA">
        <w:trPr>
          <w:jc w:val="center"/>
        </w:trPr>
        <w:tc>
          <w:tcPr>
            <w:tcW w:w="2497" w:type="dxa"/>
          </w:tcPr>
          <w:p w:rsidR="00D743AB" w:rsidRDefault="00D743AB" w:rsidP="003544EA">
            <w:pPr>
              <w:pBdr>
                <w:top w:val="nil"/>
                <w:left w:val="nil"/>
                <w:bottom w:val="nil"/>
                <w:right w:val="nil"/>
                <w:between w:val="nil"/>
              </w:pBdr>
              <w:spacing w:line="240" w:lineRule="auto"/>
              <w:ind w:hanging="2"/>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Nilai minimum</w:t>
            </w:r>
          </w:p>
        </w:tc>
        <w:tc>
          <w:tcPr>
            <w:tcW w:w="1845"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30</w:t>
            </w:r>
          </w:p>
        </w:tc>
        <w:tc>
          <w:tcPr>
            <w:tcW w:w="2319" w:type="dxa"/>
          </w:tcPr>
          <w:p w:rsidR="00D743AB" w:rsidRDefault="00D743AB" w:rsidP="003544EA">
            <w:pPr>
              <w:pBdr>
                <w:top w:val="nil"/>
                <w:left w:val="nil"/>
                <w:bottom w:val="nil"/>
                <w:right w:val="nil"/>
                <w:between w:val="nil"/>
              </w:pBdr>
              <w:spacing w:line="240" w:lineRule="auto"/>
              <w:ind w:hanging="2"/>
              <w:jc w:val="center"/>
              <w:rPr>
                <w:rFonts w:ascii="Palatino Linotype" w:eastAsia="Palatino Linotype" w:hAnsi="Palatino Linotype" w:cs="Palatino Linotype"/>
                <w:color w:val="000000"/>
              </w:rPr>
            </w:pPr>
            <w:r>
              <w:rPr>
                <w:rFonts w:ascii="Palatino Linotype" w:eastAsia="Palatino Linotype" w:hAnsi="Palatino Linotype" w:cs="Palatino Linotype"/>
                <w:color w:val="000000"/>
              </w:rPr>
              <w:t>40</w:t>
            </w:r>
          </w:p>
        </w:tc>
      </w:tr>
    </w:tbl>
    <w:p w:rsidR="00D743AB" w:rsidRDefault="00D743AB" w:rsidP="00D743AB">
      <w:pPr>
        <w:spacing w:line="240" w:lineRule="auto"/>
        <w:ind w:firstLine="720"/>
        <w:rPr>
          <w:rFonts w:ascii="Garamond" w:eastAsia="Garamond" w:hAnsi="Garamond" w:cs="Garamond"/>
          <w:sz w:val="24"/>
          <w:szCs w:val="24"/>
        </w:rPr>
      </w:pPr>
      <w:r>
        <w:rPr>
          <w:rFonts w:ascii="Garamond" w:eastAsia="Garamond" w:hAnsi="Garamond" w:cs="Garamond"/>
          <w:sz w:val="24"/>
          <w:szCs w:val="24"/>
        </w:rPr>
        <w:lastRenderedPageBreak/>
        <w:t>Source: Data Olahan (2024)</w:t>
      </w:r>
    </w:p>
    <w:p w:rsidR="00D743AB" w:rsidRDefault="00D743AB" w:rsidP="00D743AB">
      <w:pPr>
        <w:spacing w:line="240" w:lineRule="auto"/>
        <w:jc w:val="both"/>
        <w:rPr>
          <w:rFonts w:ascii="Palatino Linotype" w:eastAsia="Palatino Linotype" w:hAnsi="Palatino Linotype" w:cs="Palatino Linotype"/>
        </w:rPr>
      </w:pP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Tabel 2 menampilkan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statistik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deskriptif</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kontrol, yang menunjukka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nhasil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tanpa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menggunakan media Canva. Pada hasil</w:t>
      </w:r>
      <w:r>
        <w:rPr>
          <w:rFonts w:ascii="Palatino Linotype" w:eastAsia="Palatino Linotype" w:hAnsi="Palatino Linotype" w:cs="Palatino Linotype"/>
          <w:i/>
        </w:rPr>
        <w:t>pre-test</w:t>
      </w:r>
      <w:r>
        <w:rPr>
          <w:rFonts w:ascii="Palatino Linotype" w:eastAsia="Palatino Linotype" w:hAnsi="Palatino Linotype" w:cs="Palatino Linotype"/>
        </w:rPr>
        <w:t>, total nilai yang diperoleh oleh 20 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adalah 1802 dengan rata-rata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 nilai 50,05. Nilai ini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hampir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sama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dengan rata-rata 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eksperimen pada </w:t>
      </w:r>
      <w:r>
        <w:rPr>
          <w:rFonts w:ascii="Palatino Linotype" w:eastAsia="Palatino Linotype" w:hAnsi="Palatino Linotype" w:cs="Palatino Linotype"/>
          <w:i/>
        </w:rPr>
        <w:t>pre-test</w:t>
      </w:r>
      <w:r>
        <w:rPr>
          <w:rFonts w:ascii="Palatino Linotype" w:eastAsia="Palatino Linotype" w:hAnsi="Palatino Linotype" w:cs="Palatino Linotype"/>
        </w:rPr>
        <w:t>, yang menunjukkan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awal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antara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kedua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relatif</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seimbang</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sebelum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perlakuan. Nilai maksimum yang dicapai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adalah 70, sedangkan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nilai minimum adalah 30, yang menunjukkan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adanya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variasi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simbolis di antara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 Standar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deviasi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sebesar 11,50</w:t>
      </w:r>
      <w:r w:rsidR="00B026E4">
        <w:rPr>
          <w:rFonts w:ascii="Palatino Linotype" w:eastAsia="Palatino Linotype" w:hAnsi="Palatino Linotype" w:cs="Palatino Linotype"/>
        </w:rPr>
        <w:t xml:space="preserve"> </w:t>
      </w:r>
      <w:r>
        <w:rPr>
          <w:rFonts w:ascii="Palatino Linotype" w:eastAsia="Palatino Linotype" w:hAnsi="Palatino Linotype" w:cs="Palatino Linotype"/>
        </w:rPr>
        <w:t xml:space="preserve"> mengindikasikan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adanya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variasi yang moderat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EB5F8D">
        <w:rPr>
          <w:rFonts w:ascii="Palatino Linotype" w:eastAsia="Palatino Linotype" w:hAnsi="Palatino Linotype" w:cs="Palatino Linotype"/>
        </w:rPr>
        <w:t xml:space="preserve"> </w:t>
      </w:r>
      <w:r w:rsidR="00B026E4">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awal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antar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 di 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kontrol.</w:t>
      </w:r>
      <w:r w:rsidR="00EB5F8D">
        <w:rPr>
          <w:rFonts w:ascii="Palatino Linotype" w:eastAsia="Palatino Linotype" w:hAnsi="Palatino Linotype" w:cs="Palatino Linotype"/>
        </w:rPr>
        <w:t xml:space="preserve"> </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 xml:space="preserve">Hasil </w:t>
      </w:r>
      <w:r>
        <w:rPr>
          <w:rFonts w:ascii="Palatino Linotype" w:eastAsia="Palatino Linotype" w:hAnsi="Palatino Linotype" w:cs="Palatino Linotype"/>
          <w:i/>
        </w:rPr>
        <w:t>post-test</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rPr>
        <w:t>menunjukkan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peningkatan yang relatif</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kecil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dibandingkan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eksperimen. Total nilai yang diperoleh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meningkat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menjadi 2006, dengan rata-rata nilai naik sediki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tmenjadi 55,72.</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 Meskipun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ada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peningkatan, kenaikan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tidak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sebesar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peningkatan yang terlihat pada 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eksperimen. Nilai maksimum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hanya naik dari 70 menjadi 80, sementara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nilai minimum naik dari 30 menjadi 40, yang berarti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beberapa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mengalami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peningkatan, namun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tidak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signifikan. Standar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deviasi pada </w:t>
      </w:r>
      <w:r>
        <w:rPr>
          <w:rFonts w:ascii="Palatino Linotype" w:eastAsia="Palatino Linotype" w:hAnsi="Palatino Linotype" w:cs="Palatino Linotype"/>
          <w:i/>
        </w:rPr>
        <w:t>post-test</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rPr>
        <w:t>meningkat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menjadi 14,10, menunjukkan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variasi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antar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menjadi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besar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setelah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konvensional. Hal in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imenunjukkan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metode</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konvensional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tanpa media interaktif</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seperti Canva cenderung</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kurang</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efektif</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secara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merata di 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kontrol.</w:t>
      </w:r>
    </w:p>
    <w:p w:rsidR="00D743AB" w:rsidRDefault="00D743AB" w:rsidP="00D743AB">
      <w:pPr>
        <w:spacing w:line="360" w:lineRule="auto"/>
        <w:ind w:firstLine="720"/>
        <w:jc w:val="both"/>
        <w:rPr>
          <w:rFonts w:ascii="Palatino Linotype" w:eastAsia="Palatino Linotype" w:hAnsi="Palatino Linotype" w:cs="Palatino Linotype"/>
        </w:rPr>
      </w:pPr>
    </w:p>
    <w:p w:rsidR="00D743AB" w:rsidRDefault="00D743AB" w:rsidP="00D743AB">
      <w:pPr>
        <w:spacing w:line="240" w:lineRule="auto"/>
        <w:jc w:val="center"/>
        <w:rPr>
          <w:rFonts w:ascii="Palatino Linotype" w:eastAsia="Palatino Linotype" w:hAnsi="Palatino Linotype" w:cs="Palatino Linotype"/>
        </w:rPr>
      </w:pPr>
      <w:r>
        <w:rPr>
          <w:rFonts w:ascii="Palatino Linotype" w:eastAsia="Palatino Linotype" w:hAnsi="Palatino Linotype" w:cs="Palatino Linotype"/>
          <w:b/>
        </w:rPr>
        <w:t>Figure 1.</w:t>
      </w:r>
      <w:r>
        <w:rPr>
          <w:rFonts w:ascii="Palatino Linotype" w:eastAsia="Palatino Linotype" w:hAnsi="Palatino Linotype" w:cs="Palatino Linotype"/>
        </w:rPr>
        <w:t xml:space="preserve"> Diagram Perbandingan Kelas Eksperimen dan Kelas Kontrol</w:t>
      </w:r>
    </w:p>
    <w:p w:rsidR="00D743AB" w:rsidRDefault="00D743AB" w:rsidP="00D743AB">
      <w:pPr>
        <w:spacing w:line="240" w:lineRule="auto"/>
        <w:jc w:val="center"/>
        <w:rPr>
          <w:rFonts w:ascii="Palatino Linotype" w:eastAsia="Palatino Linotype" w:hAnsi="Palatino Linotype" w:cs="Palatino Linotype"/>
        </w:rPr>
      </w:pPr>
      <w:r>
        <w:rPr>
          <w:rFonts w:ascii="Palatino Linotype" w:eastAsia="Palatino Linotype" w:hAnsi="Palatino Linotype" w:cs="Palatino Linotype"/>
          <w:noProof/>
          <w:lang w:eastAsia="id-ID"/>
        </w:rPr>
        <w:lastRenderedPageBreak/>
        <w:drawing>
          <wp:inline distT="0" distB="0" distL="0" distR="0">
            <wp:extent cx="5486400" cy="3200400"/>
            <wp:effectExtent l="0" t="0" r="0" b="0"/>
            <wp:docPr id="572704587" name="Chart 5727045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43AB" w:rsidRDefault="00D743AB" w:rsidP="00D743AB">
      <w:pPr>
        <w:tabs>
          <w:tab w:val="center" w:pos="4819"/>
          <w:tab w:val="left" w:pos="7430"/>
        </w:tabs>
        <w:spacing w:line="240" w:lineRule="auto"/>
        <w:rPr>
          <w:rFonts w:ascii="Garamond" w:eastAsia="Garamond" w:hAnsi="Garamond" w:cs="Garamond"/>
          <w:sz w:val="24"/>
          <w:szCs w:val="24"/>
        </w:rPr>
      </w:pPr>
      <w:r>
        <w:rPr>
          <w:rFonts w:ascii="Garamond" w:eastAsia="Garamond" w:hAnsi="Garamond" w:cs="Garamond"/>
          <w:sz w:val="24"/>
          <w:szCs w:val="24"/>
        </w:rPr>
        <w:tab/>
      </w:r>
      <w:r>
        <w:rPr>
          <w:rFonts w:ascii="Garamond" w:eastAsia="Garamond" w:hAnsi="Garamond" w:cs="Garamond"/>
          <w:sz w:val="24"/>
          <w:szCs w:val="24"/>
        </w:rPr>
        <w:tab/>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Berdasarkan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Figure 1</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rPr>
        <w:t>terlihat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perbedaan yang mencolok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antara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nilai</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pre-test</w:t>
      </w:r>
      <w:r>
        <w:rPr>
          <w:rFonts w:ascii="Palatino Linotype" w:eastAsia="Palatino Linotype" w:hAnsi="Palatino Linotype" w:cs="Palatino Linotype"/>
        </w:rPr>
        <w:t xml:space="preserve"> dan </w:t>
      </w:r>
      <w:r>
        <w:rPr>
          <w:rFonts w:ascii="Palatino Linotype" w:eastAsia="Palatino Linotype" w:hAnsi="Palatino Linotype" w:cs="Palatino Linotype"/>
          <w:i/>
        </w:rPr>
        <w:t>post-test</w:t>
      </w:r>
      <w:r>
        <w:rPr>
          <w:rFonts w:ascii="Palatino Linotype" w:eastAsia="Palatino Linotype" w:hAnsi="Palatino Linotype" w:cs="Palatino Linotype"/>
        </w:rPr>
        <w:t xml:space="preserve"> di 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eksperimen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juga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kontrol. 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eksperimen, terdapat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peningkatan yang signifikan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nilai</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pre-test</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rPr>
        <w:t>ke</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post-test</w:t>
      </w:r>
      <w:r>
        <w:rPr>
          <w:rFonts w:ascii="Palatino Linotype" w:eastAsia="Palatino Linotype" w:hAnsi="Palatino Linotype" w:cs="Palatino Linotype"/>
        </w:rPr>
        <w:t>, di mana rata-rata nilai</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post-test</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rPr>
        <w:t>mendekati 100, jauh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tinggi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dibandingkan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nila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i</w:t>
      </w:r>
      <w:r>
        <w:rPr>
          <w:rFonts w:ascii="Palatino Linotype" w:eastAsia="Palatino Linotype" w:hAnsi="Palatino Linotype" w:cs="Palatino Linotype"/>
          <w:i/>
        </w:rPr>
        <w:t>pre-test</w:t>
      </w:r>
      <w:r>
        <w:rPr>
          <w:rFonts w:ascii="Palatino Linotype" w:eastAsia="Palatino Linotype" w:hAnsi="Palatino Linotype" w:cs="Palatino Linotype"/>
        </w:rPr>
        <w:t xml:space="preserve"> yang berada di kisaran 60. Hal ini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menunjukkan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penggunaan media Canva pada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nmempengaruhi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secara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signifikan. Sebaliknya pada kelas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kontrol, meskipun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ada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peningkatan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pre-test</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rPr>
        <w:t>ke</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post-test,</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rPr>
        <w:t>kenaikannya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relatif</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kecil, dengan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nilai</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post-test</w:t>
      </w:r>
      <w:r>
        <w:rPr>
          <w:rFonts w:ascii="Palatino Linotype" w:eastAsia="Palatino Linotype" w:hAnsi="Palatino Linotype" w:cs="Palatino Linotype"/>
        </w:rPr>
        <w:t xml:space="preserve"> yang hanya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sedikit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tinggi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dibandingkan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nilai</w:t>
      </w:r>
      <w:r w:rsidR="00EB5F8D">
        <w:rPr>
          <w:rFonts w:ascii="Palatino Linotype" w:eastAsia="Palatino Linotype" w:hAnsi="Palatino Linotype" w:cs="Palatino Linotype"/>
        </w:rPr>
        <w:t xml:space="preserve"> </w:t>
      </w:r>
      <w:r>
        <w:rPr>
          <w:rFonts w:ascii="Palatino Linotype" w:eastAsia="Palatino Linotype" w:hAnsi="Palatino Linotype" w:cs="Palatino Linotype"/>
          <w:i/>
        </w:rPr>
        <w:t>pre-test</w:t>
      </w:r>
      <w:r>
        <w:rPr>
          <w:rFonts w:ascii="Palatino Linotype" w:eastAsia="Palatino Linotype" w:hAnsi="Palatino Linotype" w:cs="Palatino Linotype"/>
        </w:rPr>
        <w:t>. Perbedaan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mengindikasikan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metode</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konvensional yang digunakan di kela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skontrol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tidak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seefektif</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penggunaan media Canva 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simboli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sanak. Diagram ini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memperkuat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temuan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bahwa media Canva memiliki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dampak yang lebih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besar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memfasilitasi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kognitif</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usia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dini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dibandingkan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metode</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tradisional.</w:t>
      </w:r>
    </w:p>
    <w:p w:rsidR="00D743AB" w:rsidRDefault="00D743AB" w:rsidP="00D743AB">
      <w:pPr>
        <w:spacing w:before="240" w:after="240"/>
        <w:jc w:val="both"/>
        <w:rPr>
          <w:rFonts w:ascii="Palatino Linotype" w:eastAsia="Palatino Linotype" w:hAnsi="Palatino Linotype" w:cs="Palatino Linotype"/>
          <w:i/>
        </w:rPr>
      </w:pPr>
      <w:r>
        <w:rPr>
          <w:rFonts w:ascii="Palatino Linotype" w:eastAsia="Palatino Linotype" w:hAnsi="Palatino Linotype" w:cs="Palatino Linotype"/>
          <w:b/>
        </w:rPr>
        <w:t>Pembahasan</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Penelitian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menunjukkan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penggunaan media Canva 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memiliki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pengaruh yang signifikan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terhadap</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berpiki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rsimbolis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anakusia 4-5 tahun. Berdasarkan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hasil </w:t>
      </w:r>
      <w:r w:rsidRPr="00EB5F8D">
        <w:rPr>
          <w:rFonts w:ascii="Palatino Linotype" w:eastAsia="Palatino Linotype" w:hAnsi="Palatino Linotype" w:cs="Palatino Linotype"/>
          <w:i/>
        </w:rPr>
        <w:t>pre-test</w:t>
      </w:r>
      <w:r>
        <w:rPr>
          <w:rFonts w:ascii="Palatino Linotype" w:eastAsia="Palatino Linotype" w:hAnsi="Palatino Linotype" w:cs="Palatino Linotype"/>
        </w:rPr>
        <w:t xml:space="preserve"> dan </w:t>
      </w:r>
      <w:r w:rsidRPr="00EB5F8D">
        <w:rPr>
          <w:rFonts w:ascii="Palatino Linotype" w:eastAsia="Palatino Linotype" w:hAnsi="Palatino Linotype" w:cs="Palatino Linotype"/>
          <w:i/>
        </w:rPr>
        <w:t>post-test</w:t>
      </w:r>
      <w:r>
        <w:rPr>
          <w:rFonts w:ascii="Palatino Linotype" w:eastAsia="Palatino Linotype" w:hAnsi="Palatino Linotype" w:cs="Palatino Linotype"/>
        </w:rPr>
        <w:t xml:space="preserve"> yang dilakukan pada kelompok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eksperimen, terlihat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adanya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peningkatan rata-rata nilai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dari 50,10 pada </w:t>
      </w:r>
      <w:r>
        <w:rPr>
          <w:rFonts w:ascii="Palatino Linotype" w:eastAsia="Palatino Linotype" w:hAnsi="Palatino Linotype" w:cs="Palatino Linotype"/>
          <w:i/>
        </w:rPr>
        <w:t>pre-test</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rPr>
        <w:t xml:space="preserve">menjadi 76,25 pada </w:t>
      </w:r>
      <w:r>
        <w:rPr>
          <w:rFonts w:ascii="Palatino Linotype" w:eastAsia="Palatino Linotype" w:hAnsi="Palatino Linotype" w:cs="Palatino Linotype"/>
          <w:i/>
        </w:rPr>
        <w:t>post-</w:t>
      </w:r>
      <w:r>
        <w:rPr>
          <w:rFonts w:ascii="Palatino Linotype" w:eastAsia="Palatino Linotype" w:hAnsi="Palatino Linotype" w:cs="Palatino Linotype"/>
          <w:i/>
        </w:rPr>
        <w:lastRenderedPageBreak/>
        <w:t>tes</w:t>
      </w:r>
      <w:r>
        <w:rPr>
          <w:rFonts w:ascii="Palatino Linotype" w:eastAsia="Palatino Linotype" w:hAnsi="Palatino Linotype" w:cs="Palatino Linotype"/>
        </w:rPr>
        <w:t>t. Hal ini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mengindikasikan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setelah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mengikuti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menggunakan Canva, anak-anak di kelompok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eksperimen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menunjukkan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perkembangan yang signifikan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mengenali dan menggunakan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simbol-simbol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seperti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huruf dan angka. Peningkatan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ini juga didukung oleh perubahan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standar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deviasi, yang menurun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dari 12,83 menjadi 8,59, menunjukkan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belajar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menjadi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seragam di antara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 Fakta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nilai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maksimum di kelas</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eksperimen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mencapai 100 setelah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penggunaan Canva, serta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nilai minimum meningkat</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menjadi 70, menunjukkan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hampir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semua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mengalami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peningkatan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simbolis, bahkan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mereka yang sebelumnya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memiliki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rendah.</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Kelompok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kontrol yang menjalani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konvensional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tanpa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menggunakan media Canva juga menunjukkan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peningkatan, namun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skala yang jauh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kecil. Rata-rata nilai pada kelompok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kontrol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hanya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meningkat</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dari 50,05 menjadi 55,72, yang menunjukkan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metode</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tradisional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kurang</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mampu</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merangsang</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peningkatan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secara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signifikan. Standar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deviasi pada kelompok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kontrol juga mengalami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peningkatan, yang mengindikasikan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terdapat</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variasi yang 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besar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belajar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antara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setelah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pembelajaran. Ini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menunjukkan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pendekatan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tradisional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cenderung</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kurang</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efektif</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secara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merata di antara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 Dengan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demikian, perbandingan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eksperimen dan kelompok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kontrol</w:t>
      </w:r>
      <w:r w:rsidR="00544AA7">
        <w:rPr>
          <w:rFonts w:ascii="Palatino Linotype" w:eastAsia="Palatino Linotype" w:hAnsi="Palatino Linotype" w:cs="Palatino Linotype"/>
        </w:rPr>
        <w:t>memaparkan bahwa</w:t>
      </w:r>
      <w:r>
        <w:rPr>
          <w:rFonts w:ascii="Palatino Linotype" w:eastAsia="Palatino Linotype" w:hAnsi="Palatino Linotype" w:cs="Palatino Linotype"/>
        </w:rPr>
        <w:t xml:space="preserve"> media Canva memberikan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pengaruh yang 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positif dan signifikan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terhadap</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kognitif</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usia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dini, khususnya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aspek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simbolis yang berhubungan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pengenalan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Pembelajaran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dengan media Canva memberikan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pengalaman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belajar yang 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efektif dan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menarik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bagi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 Canva memungkinkan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penggunaan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elemen-elemen visual yang kreatif dan interaktif, seperti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gambar, warna, dan animasi, yang mampu</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menarik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perhatian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 dan membantu</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mereka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mudah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memahami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konsep-konsep</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simbolis. Selama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observasi proses pembelajaran, ditemukan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anak-anak di kelompok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eksperimen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terlibat dan antusias</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saat</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berpartisipasid</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kegiatan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belajar yang menggunakan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 xml:space="preserve"> Canva. Mereka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tertarik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mengeksplorasi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materi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pembelajaran dan secara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aktif</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berinteraksi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 xml:space="preserve">konten visual yang disajikan. Sebaliknya, anak-anak di </w:t>
      </w:r>
      <w:r>
        <w:rPr>
          <w:rFonts w:ascii="Palatino Linotype" w:eastAsia="Palatino Linotype" w:hAnsi="Palatino Linotype" w:cs="Palatino Linotype"/>
        </w:rPr>
        <w:lastRenderedPageBreak/>
        <w:t>kelompok</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kontrol</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terlihat</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kurang</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antusias, dan metode</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pembelajaran yang lebih</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statis</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seperti</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penggunaan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buku</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cetak dan papan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tulis</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kurang</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mampu</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merangsang</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minat dan partisipasi</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aktif</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mereka.</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Hasil dari</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sependapat</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beberapa</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terdahulu. Bobbi Kurniawan (2024) menemukan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bahwa</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penggunaan Canva sebagai media pembelajaran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mampu</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motivasi dan keterlibatan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belajar, terutama</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pengenalan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r>
        <w:rPr>
          <w:rFonts w:ascii="Palatino Linotype" w:eastAsia="Palatino Linotype" w:hAnsi="Palatino Linotype" w:cs="Palatino Linotype"/>
          <w:vertAlign w:val="superscript"/>
        </w:rPr>
        <w:footnoteReference w:id="15"/>
      </w:r>
      <w:r>
        <w:rPr>
          <w:rFonts w:ascii="Palatino Linotype" w:eastAsia="Palatino Linotype" w:hAnsi="Palatino Linotype" w:cs="Palatino Linotype"/>
        </w:rPr>
        <w:t xml:space="preserve"> </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Hal ini</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konsisten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temuan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ini, di mana anak di kelompok</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eksperimen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menunjukkan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keterlibatan yang lebih</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tinggi</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dibanding</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 xml:space="preserve">kontrol. </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Tri Wulandari (2022) dalam</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penelitiannya</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mengungkapkan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bahwa media pembelajaran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interaktif</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seperti Canva dapat</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kognitif</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41617B">
        <w:rPr>
          <w:rFonts w:ascii="Palatino Linotype" w:eastAsia="Palatino Linotype" w:hAnsi="Palatino Linotype" w:cs="Palatino Linotype"/>
        </w:rPr>
        <w:t xml:space="preserve"> </w:t>
      </w:r>
      <w:r>
        <w:rPr>
          <w:rFonts w:ascii="Palatino Linotype" w:eastAsia="Palatino Linotype" w:hAnsi="Palatino Linotype" w:cs="Palatino Linotype"/>
        </w:rPr>
        <w:t>cara yang menyenangkan dan kreatif.</w:t>
      </w:r>
      <w:r>
        <w:rPr>
          <w:rFonts w:ascii="Palatino Linotype" w:eastAsia="Palatino Linotype" w:hAnsi="Palatino Linotype" w:cs="Palatino Linotype"/>
          <w:vertAlign w:val="superscript"/>
        </w:rPr>
        <w:footnoteReference w:id="16"/>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mereka juga menyoroti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pentingnya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elemen visual yang dinamis</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menarik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perhatian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 yang juga terlihat</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ini di mana anak-anak yang belajardengan Canva menunjukkanperkembangan yang 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signifikan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dibandingkan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mereka yang belajar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metode</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konvensional. Dengan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demikian, temuan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memperkuat</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bukti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 media Canva adalah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alat yang efektif</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terhadap</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simbolis pada anak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usia 4-5 tahun, utamanya pada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konteks</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pengenalan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p>
    <w:p w:rsidR="00D743AB" w:rsidRDefault="00D743AB" w:rsidP="00D743AB">
      <w:pPr>
        <w:spacing w:line="360" w:lineRule="auto"/>
        <w:jc w:val="both"/>
        <w:rPr>
          <w:rFonts w:ascii="Palatino Linotype" w:eastAsia="Palatino Linotype" w:hAnsi="Palatino Linotype" w:cs="Palatino Linotype"/>
          <w:b/>
        </w:rPr>
      </w:pPr>
      <w:r>
        <w:rPr>
          <w:rFonts w:ascii="Palatino Linotype" w:eastAsia="Palatino Linotype" w:hAnsi="Palatino Linotype" w:cs="Palatino Linotype"/>
          <w:b/>
        </w:rPr>
        <w:t xml:space="preserve">CONCLUSION </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Penelitian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menunjukkan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bahwa media Canva memiliki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pengaruh yang signifikan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terhadap</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usia 4-5 tahun, terutama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pengenalan dan penggunaan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huruf</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serta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angka. Hasil eksperimen yang dilakukan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terhadap</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 yang menggunakan Canva memperlihatkan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peningkatan yang signifikan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simbolis</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mereka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dibandingkan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dengan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kelompok</w:t>
      </w:r>
      <w:r w:rsidR="00EB5F8D">
        <w:rPr>
          <w:rFonts w:ascii="Palatino Linotype" w:eastAsia="Palatino Linotype" w:hAnsi="Palatino Linotype" w:cs="Palatino Linotype"/>
        </w:rPr>
        <w:t xml:space="preserve"> </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 xml:space="preserve">kontrol yang </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menggunakan media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konvensional. Canva, dengan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kemampuannya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menghadirkan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elemen visual yang interaktif dan kreatif, memberikan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stimulasi yang lebih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lastRenderedPageBreak/>
        <w:t>kuat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terhadap</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daya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imajinasi dan keterlibatan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dalam proses belajar. Melalui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penggunaan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gambar, warna, dan animasi yang menarik, Canva berhasil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menciptakan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lingkungan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belajar yang lebih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menyenangkan dan efektif, sehingga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mampu</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memperkuat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mengenali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simbol-simbol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abstrak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seperti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huruf dan angka.</w:t>
      </w:r>
    </w:p>
    <w:p w:rsidR="00D743AB" w:rsidRDefault="00D743AB" w:rsidP="00D743AB">
      <w:pPr>
        <w:spacing w:line="360" w:lineRule="auto"/>
        <w:ind w:firstLine="720"/>
        <w:jc w:val="both"/>
        <w:rPr>
          <w:rFonts w:ascii="Palatino Linotype" w:eastAsia="Palatino Linotype" w:hAnsi="Palatino Linotype" w:cs="Palatino Linotype"/>
        </w:rPr>
      </w:pPr>
      <w:r>
        <w:rPr>
          <w:rFonts w:ascii="Palatino Linotype" w:eastAsia="Palatino Linotype" w:hAnsi="Palatino Linotype" w:cs="Palatino Linotype"/>
        </w:rPr>
        <w:t>Kesimpulannya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pembelajaran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denganm</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emanfaatka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nteknologi digital seperti Canva menawarkan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potensi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besar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meningkatkan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hasil</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belajar, khususnya pada anak</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usia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tersebut. Dengan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membagikan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pengalaman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belajar yang lebih</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interaktif dan variatif, Canva terbukti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mampu</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mempercepat</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berpikir</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simbolis yang penting</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bagi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kemampuan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literasi dan numerasi di masa depan. Oleh karena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itu, hasil</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dari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ini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diharapkan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dapat</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menjadi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salah satu</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rujukan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bagi para guru</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mengadopsi media pembelajaran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berbasi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steknologi di Lembaga-lembaga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pendidikan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usia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dini. Hal lain dari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pada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itu</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ini juga memberikan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rekomendasi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untuk</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penelitian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lanjutan yang dapat</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mengeksplorasi</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lebih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jauh</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efektivitas</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berbagai media pembelajaran digital lainnya</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dalam</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mendukung</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perkembangan</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kognitif</w:t>
      </w:r>
      <w:r w:rsidR="00544AA7">
        <w:rPr>
          <w:rFonts w:ascii="Palatino Linotype" w:eastAsia="Palatino Linotype" w:hAnsi="Palatino Linotype" w:cs="Palatino Linotype"/>
        </w:rPr>
        <w:t xml:space="preserve"> </w:t>
      </w:r>
      <w:r>
        <w:rPr>
          <w:rFonts w:ascii="Palatino Linotype" w:eastAsia="Palatino Linotype" w:hAnsi="Palatino Linotype" w:cs="Palatino Linotype"/>
        </w:rPr>
        <w:t>anak.</w:t>
      </w:r>
    </w:p>
    <w:p w:rsidR="00D743AB" w:rsidRDefault="00D743AB" w:rsidP="00D743AB">
      <w:pPr>
        <w:spacing w:line="360" w:lineRule="auto"/>
        <w:jc w:val="both"/>
        <w:rPr>
          <w:rFonts w:ascii="Palatino Linotype" w:eastAsia="Palatino Linotype" w:hAnsi="Palatino Linotype" w:cs="Palatino Linotype"/>
          <w:i/>
        </w:rPr>
      </w:pPr>
      <w:r>
        <w:rPr>
          <w:rFonts w:ascii="Palatino Linotype" w:eastAsia="Palatino Linotype" w:hAnsi="Palatino Linotype" w:cs="Palatino Linotype"/>
          <w:b/>
        </w:rPr>
        <w:t xml:space="preserve">REFERENCES </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Andari, SyabilaPoppi, EndangSusilawati, English Education, Study Program, BansirLaut, and Kota Pontianak. “Developing a Pop-Up Book As Media for Teaching English.” </w:t>
      </w:r>
      <w:r>
        <w:rPr>
          <w:rFonts w:ascii="Palatino Linotype" w:eastAsia="Palatino Linotype" w:hAnsi="Palatino Linotype" w:cs="Palatino Linotype"/>
          <w:i/>
        </w:rPr>
        <w:t>Getsempena English Education Journal</w:t>
      </w:r>
      <w:r>
        <w:rPr>
          <w:rFonts w:ascii="Palatino Linotype" w:eastAsia="Palatino Linotype" w:hAnsi="Palatino Linotype" w:cs="Palatino Linotype"/>
        </w:rPr>
        <w:t xml:space="preserve"> 10, no. 2 (2023): 118–30.</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Bobbi, Muhammad, Kurniawan Nasution, Theresia Rosalina Ritonga, Sangkot Idris Ritonga, Muhammad MunawirPohan, Universitas Al, WashliyahLabuhanbatu, and Universitas Negeri Jakarta. “Analisis Media PembelajaranPengenalanHuruf Dan Angka Pada Tingkat Sekolah Dasar Menggunakan Adobe Flash Professional CS6.” </w:t>
      </w:r>
      <w:r>
        <w:rPr>
          <w:rFonts w:ascii="Palatino Linotype" w:eastAsia="Palatino Linotype" w:hAnsi="Palatino Linotype" w:cs="Palatino Linotype"/>
          <w:i/>
        </w:rPr>
        <w:t>ALACRITY</w:t>
      </w:r>
      <w:r>
        <w:rPr>
          <w:i/>
        </w:rPr>
        <w:t> </w:t>
      </w:r>
      <w:r>
        <w:rPr>
          <w:rFonts w:ascii="Palatino Linotype" w:eastAsia="Palatino Linotype" w:hAnsi="Palatino Linotype" w:cs="Palatino Linotype"/>
          <w:i/>
        </w:rPr>
        <w:t>: Journal Of Education</w:t>
      </w:r>
      <w:r>
        <w:rPr>
          <w:rFonts w:ascii="Palatino Linotype" w:eastAsia="Palatino Linotype" w:hAnsi="Palatino Linotype" w:cs="Palatino Linotype"/>
        </w:rPr>
        <w:t xml:space="preserve"> 4, no. 2 (2024): 267–75.</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Creswell, John W., and J. David Creswell. </w:t>
      </w:r>
      <w:r>
        <w:rPr>
          <w:rFonts w:ascii="Palatino Linotype" w:eastAsia="Palatino Linotype" w:hAnsi="Palatino Linotype" w:cs="Palatino Linotype"/>
          <w:i/>
        </w:rPr>
        <w:t>Mixed Methods Procedures</w:t>
      </w:r>
      <w:r>
        <w:rPr>
          <w:rFonts w:ascii="Palatino Linotype" w:eastAsia="Palatino Linotype" w:hAnsi="Palatino Linotype" w:cs="Palatino Linotype"/>
        </w:rPr>
        <w:t xml:space="preserve">. </w:t>
      </w:r>
      <w:r>
        <w:rPr>
          <w:rFonts w:ascii="Palatino Linotype" w:eastAsia="Palatino Linotype" w:hAnsi="Palatino Linotype" w:cs="Palatino Linotype"/>
          <w:i/>
        </w:rPr>
        <w:t>Research Defign: Qualitative, Quantitative, and Mixed M Ethods Approaches</w:t>
      </w:r>
      <w:r>
        <w:rPr>
          <w:rFonts w:ascii="Palatino Linotype" w:eastAsia="Palatino Linotype" w:hAnsi="Palatino Linotype" w:cs="Palatino Linotype"/>
        </w:rPr>
        <w:t>, 2018.</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Desta Pradana, Mochamad, and Yusuf Olawale Owa-Onire Uthman. “Development of AqidahAkhlak Learning Media ‘Board Game Based on Education Fun on the Theme of Commendable Morals (E-Fun A2M)’ for High School Students.” </w:t>
      </w:r>
      <w:r>
        <w:rPr>
          <w:rFonts w:ascii="Palatino Linotype" w:eastAsia="Palatino Linotype" w:hAnsi="Palatino Linotype" w:cs="Palatino Linotype"/>
          <w:i/>
        </w:rPr>
        <w:t>Assyfa Learning Journal</w:t>
      </w:r>
      <w:r>
        <w:rPr>
          <w:rFonts w:ascii="Palatino Linotype" w:eastAsia="Palatino Linotype" w:hAnsi="Palatino Linotype" w:cs="Palatino Linotype"/>
        </w:rPr>
        <w:t xml:space="preserve"> 1, no. 1 (2023): 25–36. https://doi.org/10.61650/alj.v1i1.9.</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Enramika, Tomi, Zakiyatunnia Al Mubarokah, and Putri Hardiyanti. “Development of Canva</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 Application-Based Arabic </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Learning Media to Improve the Skills of </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21st Century Educators.” </w:t>
      </w:r>
      <w:r>
        <w:rPr>
          <w:rFonts w:ascii="Palatino Linotype" w:eastAsia="Palatino Linotype" w:hAnsi="Palatino Linotype" w:cs="Palatino Linotype"/>
          <w:i/>
        </w:rPr>
        <w:t>Nusantara</w:t>
      </w:r>
      <w:r w:rsidR="00EB5F8D">
        <w:rPr>
          <w:rFonts w:ascii="Palatino Linotype" w:eastAsia="Palatino Linotype" w:hAnsi="Palatino Linotype" w:cs="Palatino Linotype"/>
          <w:i/>
        </w:rPr>
        <w:t xml:space="preserve"> </w:t>
      </w:r>
      <w:r>
        <w:rPr>
          <w:rFonts w:ascii="Palatino Linotype" w:eastAsia="Palatino Linotype" w:hAnsi="Palatino Linotype" w:cs="Palatino Linotype"/>
          <w:i/>
        </w:rPr>
        <w:t>Education</w:t>
      </w:r>
      <w:r>
        <w:rPr>
          <w:rFonts w:ascii="Palatino Linotype" w:eastAsia="Palatino Linotype" w:hAnsi="Palatino Linotype" w:cs="Palatino Linotype"/>
        </w:rPr>
        <w:t xml:space="preserve"> 2, no. 1 (2023): 34–39. https://juna.nusantarajournal.com/index.php/nula/Home%0ADEVELOPMENT.</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Fikri, T, SL Kusna, … F Isroani - of Early Childhood Islamic, and undefined 2024. “Effectiveness of Think Table Learning Media in Improving Students Logical Thinking Abilities.” </w:t>
      </w:r>
      <w:r>
        <w:rPr>
          <w:rFonts w:ascii="Palatino Linotype" w:eastAsia="Palatino Linotype" w:hAnsi="Palatino Linotype" w:cs="Palatino Linotype"/>
          <w:i/>
        </w:rPr>
        <w:t>Journal.Uaindonesia.Ac.Id</w:t>
      </w:r>
      <w:r>
        <w:rPr>
          <w:rFonts w:ascii="Palatino Linotype" w:eastAsia="Palatino Linotype" w:hAnsi="Palatino Linotype" w:cs="Palatino Linotype"/>
        </w:rPr>
        <w:t xml:space="preserve"> 8, no. 1 (2024): 44–50. http://journal.uaindonesia.ac.id/index.php/ijecie/article/view/826.</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Fitriani, Wulan, and Setyoadi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Purwanto. “Islam in World Perspectives Development of Abacus Learning Media to Stimulate Early Reading Ability For Early Childhood.” </w:t>
      </w:r>
      <w:r>
        <w:rPr>
          <w:rFonts w:ascii="Palatino Linotype" w:eastAsia="Palatino Linotype" w:hAnsi="Palatino Linotype" w:cs="Palatino Linotype"/>
          <w:i/>
        </w:rPr>
        <w:t>Islam in World Perspectives</w:t>
      </w:r>
      <w:r>
        <w:rPr>
          <w:rFonts w:ascii="Palatino Linotype" w:eastAsia="Palatino Linotype" w:hAnsi="Palatino Linotype" w:cs="Palatino Linotype"/>
        </w:rPr>
        <w:t xml:space="preserve"> 2, no. 2 (2023): 24–32.</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Ikhlas, Rifki</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Zaitul, Rusdee</w:t>
      </w:r>
      <w:r w:rsidR="00EB5F8D">
        <w:rPr>
          <w:rFonts w:ascii="Palatino Linotype" w:eastAsia="Palatino Linotype" w:hAnsi="Palatino Linotype" w:cs="Palatino Linotype"/>
        </w:rPr>
        <w:t xml:space="preserve"> </w:t>
      </w:r>
      <w:r>
        <w:rPr>
          <w:rFonts w:ascii="Palatino Linotype" w:eastAsia="Palatino Linotype" w:hAnsi="Palatino Linotype" w:cs="Palatino Linotype"/>
        </w:rPr>
        <w:t xml:space="preserve">Japakiya, and Tika Muzayanah. “Utilization of Canva Application as a Learning Media Video Creation.” </w:t>
      </w:r>
      <w:r>
        <w:rPr>
          <w:rFonts w:ascii="Palatino Linotype" w:eastAsia="Palatino Linotype" w:hAnsi="Palatino Linotype" w:cs="Palatino Linotype"/>
          <w:i/>
        </w:rPr>
        <w:t>Journal of Social Science Utilizing Technology</w:t>
      </w:r>
      <w:r>
        <w:rPr>
          <w:rFonts w:ascii="Palatino Linotype" w:eastAsia="Palatino Linotype" w:hAnsi="Palatino Linotype" w:cs="Palatino Linotype"/>
        </w:rPr>
        <w:t xml:space="preserve"> 1, no. 3 (2023): 158–69. https://doi.org/10.70177/jssut.v1i3.558.</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Mudinillah, Adam, and M. Rizaldi. “Using the Canva Application as an Arabic Learning Media at SMA Plus Panyabungan.” </w:t>
      </w:r>
      <w:r>
        <w:rPr>
          <w:rFonts w:ascii="Palatino Linotype" w:eastAsia="Palatino Linotype" w:hAnsi="Palatino Linotype" w:cs="Palatino Linotype"/>
          <w:i/>
        </w:rPr>
        <w:t>At-Tasyrih: Jurnal Pendidikan Dan Hukum Islam</w:t>
      </w:r>
      <w:r>
        <w:rPr>
          <w:rFonts w:ascii="Palatino Linotype" w:eastAsia="Palatino Linotype" w:hAnsi="Palatino Linotype" w:cs="Palatino Linotype"/>
        </w:rPr>
        <w:t xml:space="preserve"> 7, no. 2 (2021): 95–106. https://doi.org/10.55849/attasyrih.v7i2.67.</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Pioke, Febriyani, Fachrudin Zain Olilingo, Sri Endang Saleh, HeldyVanniAlam, Abd. Rahman Pakaya, MeykoPanigoro, and RadiaHafid. “Development of Android-Based Learning Media.” </w:t>
      </w:r>
      <w:r>
        <w:rPr>
          <w:rFonts w:ascii="Palatino Linotype" w:eastAsia="Palatino Linotype" w:hAnsi="Palatino Linotype" w:cs="Palatino Linotype"/>
          <w:i/>
        </w:rPr>
        <w:t>JurnalPenelitian Pendidikan IPA</w:t>
      </w:r>
      <w:r>
        <w:rPr>
          <w:rFonts w:ascii="Palatino Linotype" w:eastAsia="Palatino Linotype" w:hAnsi="Palatino Linotype" w:cs="Palatino Linotype"/>
        </w:rPr>
        <w:t xml:space="preserve"> 9, no. 7 (2023): 5584–95. https://doi.org/10.29303/jppipa.v9i7.3982.</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Safitri, Nita Dwi, UswatunHasanah, FarhatinMasruroh, KhulusinniyahKhulusinniyah, and Jaime Dodd. “The Development of Thematic Board Educational Game Tools to Train The Literacy Skills of Children 5-6 Years Old.” </w:t>
      </w:r>
      <w:r>
        <w:rPr>
          <w:rFonts w:ascii="Palatino Linotype" w:eastAsia="Palatino Linotype" w:hAnsi="Palatino Linotype" w:cs="Palatino Linotype"/>
          <w:i/>
        </w:rPr>
        <w:t>Indonesian Journal of Early Childhood Educational Research (IJECER)</w:t>
      </w:r>
      <w:r>
        <w:rPr>
          <w:rFonts w:ascii="Palatino Linotype" w:eastAsia="Palatino Linotype" w:hAnsi="Palatino Linotype" w:cs="Palatino Linotype"/>
        </w:rPr>
        <w:t xml:space="preserve"> 1, no. 2 (2023): 75. https://doi.org/10.31958/ijecer.v1i2.8156.</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Sugiyono. </w:t>
      </w:r>
      <w:r>
        <w:rPr>
          <w:rFonts w:ascii="Palatino Linotype" w:eastAsia="Palatino Linotype" w:hAnsi="Palatino Linotype" w:cs="Palatino Linotype"/>
          <w:i/>
        </w:rPr>
        <w:t>MetodePenelitianKuantitatif, Kualitatif, R&amp;D</w:t>
      </w:r>
      <w:r>
        <w:rPr>
          <w:rFonts w:ascii="Palatino Linotype" w:eastAsia="Palatino Linotype" w:hAnsi="Palatino Linotype" w:cs="Palatino Linotype"/>
        </w:rPr>
        <w:t>. Bandung: Alfabeta, 2021.</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“MetodePenelitianKuantitatif, Kualitatif, Dan R&amp;D. Bandung: Alfabeta. Badan,” 2019.</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Suharsiwi, Nadiya ItsnainiRachmawati, Sabeeha Hamza Dehham, and Rani Darmayanti. “‘DINO Vs. DINI’ Educational Game to Increase Children’s Cognitive Abilities—What Are Its Level Elements?” </w:t>
      </w:r>
      <w:r>
        <w:rPr>
          <w:rFonts w:ascii="Palatino Linotype" w:eastAsia="Palatino Linotype" w:hAnsi="Palatino Linotype" w:cs="Palatino Linotype"/>
          <w:i/>
        </w:rPr>
        <w:t>Delta-Phi: Jurnal Pendidikan Matematika</w:t>
      </w:r>
      <w:r>
        <w:rPr>
          <w:rFonts w:ascii="Palatino Linotype" w:eastAsia="Palatino Linotype" w:hAnsi="Palatino Linotype" w:cs="Palatino Linotype"/>
        </w:rPr>
        <w:t xml:space="preserve"> 1, no. 2 (2023): 107–12. https://doi.org/10.61650/dpjpm.v1i2.244.</w:t>
      </w:r>
    </w:p>
    <w:p w:rsidR="00D743AB" w:rsidRDefault="00D743AB" w:rsidP="00D743AB">
      <w:pPr>
        <w:spacing w:line="240" w:lineRule="auto"/>
        <w:ind w:left="480" w:hanging="480"/>
        <w:jc w:val="both"/>
        <w:rPr>
          <w:rFonts w:ascii="Palatino Linotype" w:eastAsia="Palatino Linotype" w:hAnsi="Palatino Linotype" w:cs="Palatino Linotype"/>
        </w:rPr>
      </w:pPr>
      <w:r>
        <w:rPr>
          <w:rFonts w:ascii="Palatino Linotype" w:eastAsia="Palatino Linotype" w:hAnsi="Palatino Linotype" w:cs="Palatino Linotype"/>
        </w:rPr>
        <w:t xml:space="preserve">Tri Wulandari, and Adam Mudinillah. “EfektivitasPenggunaanAplikasi CANVA Sebagai Media Pembelajaran IPA MI/SD.” </w:t>
      </w:r>
      <w:r>
        <w:rPr>
          <w:rFonts w:ascii="Palatino Linotype" w:eastAsia="Palatino Linotype" w:hAnsi="Palatino Linotype" w:cs="Palatino Linotype"/>
          <w:i/>
        </w:rPr>
        <w:t>JurnalRiset Madrasah Ibtidaiyah (JURMIA)</w:t>
      </w:r>
      <w:r>
        <w:rPr>
          <w:rFonts w:ascii="Palatino Linotype" w:eastAsia="Palatino Linotype" w:hAnsi="Palatino Linotype" w:cs="Palatino Linotype"/>
        </w:rPr>
        <w:t xml:space="preserve"> 2, no. 1 (2022): 102–18. https://doi.org/10.32665/jurmia.v2i1.245.</w:t>
      </w:r>
    </w:p>
    <w:p w:rsidR="00DC1DCC" w:rsidRDefault="00DC1DCC" w:rsidP="00DC1DCC">
      <w:pPr>
        <w:spacing w:after="0" w:line="360" w:lineRule="auto"/>
        <w:rPr>
          <w:sz w:val="24"/>
          <w:szCs w:val="24"/>
        </w:rPr>
      </w:pPr>
    </w:p>
    <w:p w:rsidR="00B026E4" w:rsidRDefault="00B026E4" w:rsidP="00DC1DCC">
      <w:pPr>
        <w:spacing w:after="0" w:line="360" w:lineRule="auto"/>
        <w:rPr>
          <w:sz w:val="24"/>
          <w:szCs w:val="24"/>
        </w:rPr>
      </w:pPr>
    </w:p>
    <w:p w:rsidR="00B026E4" w:rsidRDefault="00B026E4" w:rsidP="00DC1DCC">
      <w:pPr>
        <w:spacing w:after="0" w:line="360" w:lineRule="auto"/>
        <w:rPr>
          <w:sz w:val="24"/>
          <w:szCs w:val="24"/>
        </w:rPr>
      </w:pPr>
    </w:p>
    <w:p w:rsidR="00B026E4" w:rsidRDefault="00B026E4" w:rsidP="00DC1DCC">
      <w:pPr>
        <w:spacing w:after="0" w:line="360" w:lineRule="auto"/>
        <w:rPr>
          <w:sz w:val="24"/>
          <w:szCs w:val="24"/>
        </w:rPr>
      </w:pPr>
    </w:p>
    <w:p w:rsidR="00B026E4" w:rsidRDefault="00B026E4" w:rsidP="00DC1DCC">
      <w:pPr>
        <w:spacing w:after="0" w:line="360" w:lineRule="auto"/>
        <w:rPr>
          <w:sz w:val="24"/>
          <w:szCs w:val="24"/>
        </w:rPr>
      </w:pPr>
    </w:p>
    <w:p w:rsidR="00B026E4" w:rsidRPr="00DC1DCC" w:rsidRDefault="00B026E4" w:rsidP="00DC1DCC">
      <w:pPr>
        <w:spacing w:after="0" w:line="360" w:lineRule="auto"/>
        <w:rPr>
          <w:sz w:val="24"/>
          <w:szCs w:val="24"/>
        </w:rPr>
      </w:pPr>
    </w:p>
    <w:p w:rsidR="00DC1DCC" w:rsidRDefault="00DC1DCC" w:rsidP="00DC1DCC">
      <w:pPr>
        <w:pStyle w:val="ListParagraph"/>
        <w:numPr>
          <w:ilvl w:val="0"/>
          <w:numId w:val="1"/>
        </w:numPr>
        <w:spacing w:after="0" w:line="360" w:lineRule="auto"/>
        <w:rPr>
          <w:b/>
          <w:sz w:val="28"/>
          <w:szCs w:val="28"/>
        </w:rPr>
      </w:pPr>
      <w:r w:rsidRPr="00D743AB">
        <w:rPr>
          <w:b/>
          <w:sz w:val="28"/>
          <w:szCs w:val="28"/>
        </w:rPr>
        <w:lastRenderedPageBreak/>
        <w:t>Bukti konfirmasi dari pihak reviewer (08 Oktober 2024)</w:t>
      </w:r>
    </w:p>
    <w:p w:rsidR="00B026E4" w:rsidRPr="00D743AB" w:rsidRDefault="00B026E4" w:rsidP="00B026E4">
      <w:pPr>
        <w:pStyle w:val="ListParagraph"/>
        <w:spacing w:after="0" w:line="360" w:lineRule="auto"/>
        <w:rPr>
          <w:b/>
          <w:sz w:val="28"/>
          <w:szCs w:val="28"/>
        </w:rPr>
      </w:pPr>
    </w:p>
    <w:p w:rsidR="00DC1DCC" w:rsidRDefault="005660B3" w:rsidP="00DC1DCC">
      <w:pPr>
        <w:spacing w:after="0" w:line="360" w:lineRule="auto"/>
        <w:rPr>
          <w:sz w:val="24"/>
          <w:szCs w:val="24"/>
        </w:rPr>
      </w:pPr>
      <w:r>
        <w:rPr>
          <w:noProof/>
          <w:sz w:val="24"/>
          <w:szCs w:val="24"/>
          <w:lang w:eastAsia="id-ID"/>
        </w:rPr>
        <w:drawing>
          <wp:inline distT="0" distB="0" distL="0" distR="0">
            <wp:extent cx="4172940" cy="7154636"/>
            <wp:effectExtent l="19050" t="0" r="0" b="0"/>
            <wp:docPr id="2" name="Picture 1" descr="WhatsApp Image 2024-10-30 at 14.13.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30 at 14.13.39.jpeg"/>
                    <pic:cNvPicPr/>
                  </pic:nvPicPr>
                  <pic:blipFill>
                    <a:blip r:embed="rId11"/>
                    <a:stretch>
                      <a:fillRect/>
                    </a:stretch>
                  </pic:blipFill>
                  <pic:spPr>
                    <a:xfrm>
                      <a:off x="0" y="0"/>
                      <a:ext cx="4185998" cy="7177024"/>
                    </a:xfrm>
                    <a:prstGeom prst="rect">
                      <a:avLst/>
                    </a:prstGeom>
                  </pic:spPr>
                </pic:pic>
              </a:graphicData>
            </a:graphic>
          </wp:inline>
        </w:drawing>
      </w:r>
    </w:p>
    <w:p w:rsidR="00DC1DCC" w:rsidRDefault="00DC1DCC" w:rsidP="00DC1DCC">
      <w:pPr>
        <w:spacing w:after="0" w:line="360" w:lineRule="auto"/>
        <w:rPr>
          <w:sz w:val="24"/>
          <w:szCs w:val="24"/>
        </w:rPr>
      </w:pPr>
    </w:p>
    <w:p w:rsidR="00B026E4" w:rsidRDefault="00B026E4" w:rsidP="00DC1DCC">
      <w:pPr>
        <w:spacing w:after="0" w:line="360" w:lineRule="auto"/>
        <w:rPr>
          <w:sz w:val="24"/>
          <w:szCs w:val="24"/>
        </w:rPr>
      </w:pPr>
    </w:p>
    <w:p w:rsidR="00B026E4" w:rsidRPr="00DC1DCC" w:rsidRDefault="00B026E4" w:rsidP="00DC1DCC">
      <w:pPr>
        <w:spacing w:after="0" w:line="360" w:lineRule="auto"/>
        <w:rPr>
          <w:sz w:val="24"/>
          <w:szCs w:val="24"/>
        </w:rPr>
      </w:pPr>
    </w:p>
    <w:p w:rsidR="00DC1DCC" w:rsidRDefault="00DC1DCC" w:rsidP="00DC1DCC">
      <w:pPr>
        <w:pStyle w:val="ListParagraph"/>
        <w:numPr>
          <w:ilvl w:val="0"/>
          <w:numId w:val="1"/>
        </w:numPr>
        <w:spacing w:after="0" w:line="360" w:lineRule="auto"/>
        <w:rPr>
          <w:b/>
          <w:sz w:val="28"/>
          <w:szCs w:val="28"/>
        </w:rPr>
      </w:pPr>
      <w:r w:rsidRPr="00D743AB">
        <w:rPr>
          <w:b/>
          <w:sz w:val="28"/>
          <w:szCs w:val="28"/>
        </w:rPr>
        <w:lastRenderedPageBreak/>
        <w:t xml:space="preserve">Bukti konfirmasi artikel </w:t>
      </w:r>
      <w:r w:rsidRPr="00D743AB">
        <w:rPr>
          <w:b/>
          <w:i/>
          <w:sz w:val="28"/>
          <w:szCs w:val="28"/>
        </w:rPr>
        <w:t xml:space="preserve">accepted </w:t>
      </w:r>
      <w:r w:rsidRPr="00D743AB">
        <w:rPr>
          <w:b/>
          <w:sz w:val="28"/>
          <w:szCs w:val="28"/>
        </w:rPr>
        <w:t>(09 Oktober 2024)</w:t>
      </w:r>
    </w:p>
    <w:p w:rsidR="00B026E4" w:rsidRPr="00D743AB" w:rsidRDefault="00B026E4" w:rsidP="00DC1DCC">
      <w:pPr>
        <w:pStyle w:val="ListParagraph"/>
        <w:numPr>
          <w:ilvl w:val="0"/>
          <w:numId w:val="1"/>
        </w:numPr>
        <w:spacing w:after="0" w:line="360" w:lineRule="auto"/>
        <w:rPr>
          <w:b/>
          <w:sz w:val="28"/>
          <w:szCs w:val="28"/>
        </w:rPr>
      </w:pPr>
    </w:p>
    <w:p w:rsidR="00DC1DCC" w:rsidRDefault="005660B3" w:rsidP="00DC1DCC">
      <w:pPr>
        <w:spacing w:after="0" w:line="360" w:lineRule="auto"/>
        <w:rPr>
          <w:sz w:val="24"/>
          <w:szCs w:val="24"/>
        </w:rPr>
      </w:pPr>
      <w:r>
        <w:rPr>
          <w:noProof/>
          <w:sz w:val="24"/>
          <w:szCs w:val="24"/>
          <w:lang w:eastAsia="id-ID"/>
        </w:rPr>
        <w:drawing>
          <wp:inline distT="0" distB="0" distL="0" distR="0">
            <wp:extent cx="5731510" cy="3420745"/>
            <wp:effectExtent l="19050" t="0" r="2540" b="0"/>
            <wp:docPr id="3" name="Picture 2" descr="WhatsApp Image 2024-10-30 at 14.12.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30 at 14.12.06.jpeg"/>
                    <pic:cNvPicPr/>
                  </pic:nvPicPr>
                  <pic:blipFill>
                    <a:blip r:embed="rId12"/>
                    <a:stretch>
                      <a:fillRect/>
                    </a:stretch>
                  </pic:blipFill>
                  <pic:spPr>
                    <a:xfrm>
                      <a:off x="0" y="0"/>
                      <a:ext cx="5731510" cy="3420745"/>
                    </a:xfrm>
                    <a:prstGeom prst="rect">
                      <a:avLst/>
                    </a:prstGeom>
                  </pic:spPr>
                </pic:pic>
              </a:graphicData>
            </a:graphic>
          </wp:inline>
        </w:drawing>
      </w:r>
    </w:p>
    <w:p w:rsidR="00B026E4" w:rsidRDefault="00B026E4" w:rsidP="00DC1DCC">
      <w:pPr>
        <w:spacing w:after="0" w:line="360" w:lineRule="auto"/>
        <w:rPr>
          <w:sz w:val="24"/>
          <w:szCs w:val="24"/>
        </w:rPr>
      </w:pPr>
    </w:p>
    <w:p w:rsidR="00DC1DCC" w:rsidRPr="00DC1DCC" w:rsidRDefault="00DC1DCC" w:rsidP="00DC1DCC">
      <w:pPr>
        <w:spacing w:after="0" w:line="360" w:lineRule="auto"/>
        <w:rPr>
          <w:sz w:val="24"/>
          <w:szCs w:val="24"/>
        </w:rPr>
      </w:pPr>
    </w:p>
    <w:p w:rsidR="00DC1DCC" w:rsidRPr="00D743AB" w:rsidRDefault="00DC1DCC" w:rsidP="00DC1DCC">
      <w:pPr>
        <w:pStyle w:val="ListParagraph"/>
        <w:numPr>
          <w:ilvl w:val="0"/>
          <w:numId w:val="1"/>
        </w:numPr>
        <w:spacing w:after="0" w:line="360" w:lineRule="auto"/>
        <w:rPr>
          <w:b/>
          <w:sz w:val="28"/>
          <w:szCs w:val="28"/>
        </w:rPr>
      </w:pPr>
      <w:r w:rsidRPr="00D743AB">
        <w:rPr>
          <w:b/>
          <w:sz w:val="28"/>
          <w:szCs w:val="28"/>
        </w:rPr>
        <w:t xml:space="preserve">Bukti artikel </w:t>
      </w:r>
      <w:r w:rsidRPr="00D743AB">
        <w:rPr>
          <w:b/>
          <w:i/>
          <w:sz w:val="28"/>
          <w:szCs w:val="28"/>
        </w:rPr>
        <w:t xml:space="preserve">published online </w:t>
      </w:r>
      <w:r w:rsidR="003943A6">
        <w:rPr>
          <w:b/>
          <w:sz w:val="28"/>
          <w:szCs w:val="28"/>
        </w:rPr>
        <w:t>(15</w:t>
      </w:r>
      <w:r w:rsidRPr="00D743AB">
        <w:rPr>
          <w:b/>
          <w:sz w:val="28"/>
          <w:szCs w:val="28"/>
        </w:rPr>
        <w:t xml:space="preserve"> Oktober 2024)</w:t>
      </w:r>
      <w:r w:rsidR="005660B3">
        <w:rPr>
          <w:b/>
          <w:noProof/>
          <w:sz w:val="28"/>
          <w:szCs w:val="28"/>
          <w:lang w:eastAsia="id-ID"/>
        </w:rPr>
        <w:drawing>
          <wp:inline distT="0" distB="0" distL="0" distR="0">
            <wp:extent cx="5731510" cy="3420745"/>
            <wp:effectExtent l="19050" t="0" r="2540" b="0"/>
            <wp:docPr id="4" name="Picture 3" descr="WhatsApp Image 2024-10-30 at 14.29.0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30 at 14.29.06 (1).jpeg"/>
                    <pic:cNvPicPr/>
                  </pic:nvPicPr>
                  <pic:blipFill>
                    <a:blip r:embed="rId13"/>
                    <a:stretch>
                      <a:fillRect/>
                    </a:stretch>
                  </pic:blipFill>
                  <pic:spPr>
                    <a:xfrm>
                      <a:off x="0" y="0"/>
                      <a:ext cx="5731510" cy="3420745"/>
                    </a:xfrm>
                    <a:prstGeom prst="rect">
                      <a:avLst/>
                    </a:prstGeom>
                  </pic:spPr>
                </pic:pic>
              </a:graphicData>
            </a:graphic>
          </wp:inline>
        </w:drawing>
      </w:r>
    </w:p>
    <w:sectPr w:rsidR="00DC1DCC" w:rsidRPr="00D743AB" w:rsidSect="001B4C2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3A" w:rsidRDefault="006D073A" w:rsidP="00D743AB">
      <w:pPr>
        <w:spacing w:after="0" w:line="240" w:lineRule="auto"/>
      </w:pPr>
      <w:r>
        <w:separator/>
      </w:r>
    </w:p>
  </w:endnote>
  <w:endnote w:type="continuationSeparator" w:id="1">
    <w:p w:rsidR="006D073A" w:rsidRDefault="006D073A" w:rsidP="00D74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3A" w:rsidRDefault="006D073A" w:rsidP="00D743AB">
      <w:pPr>
        <w:spacing w:after="0" w:line="240" w:lineRule="auto"/>
      </w:pPr>
      <w:r>
        <w:separator/>
      </w:r>
    </w:p>
  </w:footnote>
  <w:footnote w:type="continuationSeparator" w:id="1">
    <w:p w:rsidR="006D073A" w:rsidRDefault="006D073A" w:rsidP="00D743AB">
      <w:pPr>
        <w:spacing w:after="0" w:line="240" w:lineRule="auto"/>
      </w:pPr>
      <w:r>
        <w:continuationSeparator/>
      </w:r>
    </w:p>
  </w:footnote>
  <w:footnote w:id="2">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Mochamad Desta Pradana and Yusuf Olawale Owa-Onire Uthman, “Development of AqidahAkhlak Learning Media ‘Board Game Based on Education Fun on the Theme of Commendable Morals (E-Fun A2M)’ for High School Students,” </w:t>
      </w:r>
      <w:r>
        <w:rPr>
          <w:rFonts w:eastAsia="Times New Roman"/>
          <w:i/>
          <w:color w:val="000000"/>
          <w:sz w:val="20"/>
        </w:rPr>
        <w:t>Assyfa Learning Journal</w:t>
      </w:r>
      <w:r>
        <w:rPr>
          <w:rFonts w:eastAsia="Times New Roman"/>
          <w:color w:val="000000"/>
          <w:sz w:val="20"/>
        </w:rPr>
        <w:t xml:space="preserve"> 1, no. 1 (2023): 25–36, https://doi.org/10.61650/alj.v1i1.9.</w:t>
      </w:r>
    </w:p>
  </w:footnote>
  <w:footnote w:id="3">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 Nita DwiSafitri et al., “The Development of Thematic Board Educational Game Tools to Train The Literacy Skills of Children 5-6 Years Old,” </w:t>
      </w:r>
      <w:r>
        <w:rPr>
          <w:rFonts w:eastAsia="Times New Roman"/>
          <w:i/>
          <w:color w:val="000000"/>
          <w:sz w:val="20"/>
        </w:rPr>
        <w:t>Indonesian Journal of Early Childhood Educational Research (IJECER)</w:t>
      </w:r>
      <w:r>
        <w:rPr>
          <w:rFonts w:eastAsia="Times New Roman"/>
          <w:color w:val="000000"/>
          <w:sz w:val="20"/>
        </w:rPr>
        <w:t xml:space="preserve"> 1, no. 2 (2023): 75, https://doi.org/10.31958/ijecer.v1i2.8156.</w:t>
      </w:r>
    </w:p>
  </w:footnote>
  <w:footnote w:id="4">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SyabilaPoppiAndari et al., “Developinng a Pop-Up Book As Media for Teaching English,” </w:t>
      </w:r>
      <w:r>
        <w:rPr>
          <w:rFonts w:eastAsia="Times New Roman"/>
          <w:i/>
          <w:color w:val="000000"/>
          <w:sz w:val="20"/>
        </w:rPr>
        <w:t>Getsempena English Education Journal</w:t>
      </w:r>
      <w:r>
        <w:rPr>
          <w:rFonts w:eastAsia="Times New Roman"/>
          <w:color w:val="000000"/>
          <w:sz w:val="20"/>
        </w:rPr>
        <w:t xml:space="preserve"> 10, no. 2 (2023): 118–30.</w:t>
      </w:r>
    </w:p>
  </w:footnote>
  <w:footnote w:id="5">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Suharsiwi et al., “‘DINO Vs. DINI’ Educational Game to Increase Children’s Cognitive Abilities—What Are Its Level Elements?,” </w:t>
      </w:r>
      <w:r>
        <w:rPr>
          <w:rFonts w:eastAsia="Times New Roman"/>
          <w:i/>
          <w:color w:val="000000"/>
          <w:sz w:val="20"/>
        </w:rPr>
        <w:t>Delta-Phi: Jurnal Pendidikan Matematika</w:t>
      </w:r>
      <w:r>
        <w:rPr>
          <w:rFonts w:eastAsia="Times New Roman"/>
          <w:color w:val="000000"/>
          <w:sz w:val="20"/>
        </w:rPr>
        <w:t xml:space="preserve"> 1, no. 2 (2023): 107–12, https://doi.org/10.61650/dpjpm.v1i2.244.</w:t>
      </w:r>
    </w:p>
  </w:footnote>
  <w:footnote w:id="6">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 T Fikri et al., “Effectiveness  of  Think Table Learning Media  in Improving  Students ’Logical Thinking  Abilities,” </w:t>
      </w:r>
      <w:r>
        <w:rPr>
          <w:rFonts w:eastAsia="Times New Roman"/>
          <w:i/>
          <w:color w:val="000000"/>
          <w:sz w:val="20"/>
        </w:rPr>
        <w:t>Journal.Uaindonesia.Ac.Id</w:t>
      </w:r>
      <w:r>
        <w:rPr>
          <w:rFonts w:eastAsia="Times New Roman"/>
          <w:color w:val="000000"/>
          <w:sz w:val="20"/>
        </w:rPr>
        <w:t xml:space="preserve"> 8, no. 1 (2024): 44–50, http://journal.uaindonesia.ac.id/index.php/ijecie/article/view/826.</w:t>
      </w:r>
    </w:p>
  </w:footnote>
  <w:footnote w:id="7">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Wulan Fitriani  and Setyoadi  Purwanto, “Islam in World Perspectives Development of Abacus Learning Media to Stimulate Early Reading Ability For Early Childhood,” </w:t>
      </w:r>
      <w:r>
        <w:rPr>
          <w:rFonts w:eastAsia="Times New Roman"/>
          <w:i/>
          <w:color w:val="000000"/>
          <w:sz w:val="20"/>
        </w:rPr>
        <w:t>Islam in World Perspectives</w:t>
      </w:r>
      <w:r>
        <w:rPr>
          <w:rFonts w:eastAsia="Times New Roman"/>
          <w:color w:val="000000"/>
          <w:sz w:val="20"/>
        </w:rPr>
        <w:t xml:space="preserve"> 2, no. 2 (2023): 24–32.</w:t>
      </w:r>
    </w:p>
  </w:footnote>
  <w:footnote w:id="8">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Febriyani Pioke et al., “Development of Android-Based Learning Media,” </w:t>
      </w:r>
      <w:r>
        <w:rPr>
          <w:rFonts w:eastAsia="Times New Roman"/>
          <w:i/>
          <w:color w:val="000000"/>
          <w:sz w:val="20"/>
        </w:rPr>
        <w:t>Jurnal Penelitian Pendidikan IPA</w:t>
      </w:r>
      <w:r>
        <w:rPr>
          <w:rFonts w:eastAsia="Times New Roman"/>
          <w:color w:val="000000"/>
          <w:sz w:val="20"/>
        </w:rPr>
        <w:t xml:space="preserve"> 9, no. 7 (2023): 5584–95, https://doi.org/10.29303/jppipa.v9i7.3982.</w:t>
      </w:r>
    </w:p>
  </w:footnote>
  <w:footnote w:id="9">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 Tomi Enramika, Zakiyatunnia Al Mubarokah, and Putri Hardiyanti, “Development of Canva Application-Based Arabic Learning Media to Improve the Skills of 21st Century Educators,” </w:t>
      </w:r>
      <w:r>
        <w:rPr>
          <w:rFonts w:eastAsia="Times New Roman"/>
          <w:i/>
          <w:color w:val="000000"/>
          <w:sz w:val="20"/>
        </w:rPr>
        <w:t>NusantaraEducation</w:t>
      </w:r>
      <w:r>
        <w:rPr>
          <w:rFonts w:eastAsia="Times New Roman"/>
          <w:color w:val="000000"/>
          <w:sz w:val="20"/>
        </w:rPr>
        <w:t xml:space="preserve"> 2, no. 1 (2023): 34–39, https://juna.nusantarajournal.com/index.php/nula/Home%0ADEVELOPMENT.</w:t>
      </w:r>
    </w:p>
  </w:footnote>
  <w:footnote w:id="10">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 Adam Mudinillah and M. Rizaldi, “Using the Canva Application as an Arabic Learning Media at SMA Plus Panyabungan,” </w:t>
      </w:r>
      <w:r>
        <w:rPr>
          <w:rFonts w:eastAsia="Times New Roman"/>
          <w:i/>
          <w:color w:val="000000"/>
          <w:sz w:val="20"/>
        </w:rPr>
        <w:t>At-Tasyrih: Jurnal Pendidikan Dan Hukum Islam</w:t>
      </w:r>
      <w:r>
        <w:rPr>
          <w:rFonts w:eastAsia="Times New Roman"/>
          <w:color w:val="000000"/>
          <w:sz w:val="20"/>
        </w:rPr>
        <w:t xml:space="preserve"> 7, no. 2 (2021): 95–106, https://doi.org/10.55849/attasyrih.v7i2.67.</w:t>
      </w:r>
    </w:p>
  </w:footnote>
  <w:footnote w:id="11">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RifkiZaitulIkhlas, RusdeeJapakiya, and Tika Muzayanah, “Utilization of Canva Application as a Learning Media Video Creation,” </w:t>
      </w:r>
      <w:r>
        <w:rPr>
          <w:rFonts w:eastAsia="Times New Roman"/>
          <w:i/>
          <w:color w:val="000000"/>
          <w:sz w:val="20"/>
        </w:rPr>
        <w:t>Journal of Social Science Utilizing Technology</w:t>
      </w:r>
      <w:r>
        <w:rPr>
          <w:rFonts w:eastAsia="Times New Roman"/>
          <w:color w:val="000000"/>
          <w:sz w:val="20"/>
        </w:rPr>
        <w:t xml:space="preserve"> 1, no. 3 (2023): 158–69, https://doi.org/10.70177/jssut.v1i3.558.</w:t>
      </w:r>
    </w:p>
  </w:footnote>
  <w:footnote w:id="12">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Sugiyono, </w:t>
      </w:r>
      <w:r>
        <w:rPr>
          <w:rFonts w:eastAsia="Times New Roman"/>
          <w:i/>
          <w:color w:val="000000"/>
          <w:sz w:val="20"/>
        </w:rPr>
        <w:t>MetodePenelitianKuantitaif, Kualitatif, R&amp;D</w:t>
      </w:r>
      <w:r>
        <w:rPr>
          <w:rFonts w:eastAsia="Times New Roman"/>
          <w:color w:val="000000"/>
          <w:sz w:val="20"/>
        </w:rPr>
        <w:t xml:space="preserve"> (Bandung: Alfabeta, 2021).</w:t>
      </w:r>
    </w:p>
  </w:footnote>
  <w:footnote w:id="13">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Sugiyono, “MetodePenelitianKuantitatif, Kualitatif, Dan R&amp;D. Bandung: Alfabeta. Badan,” 2019.</w:t>
      </w:r>
    </w:p>
  </w:footnote>
  <w:footnote w:id="14">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 John W. Creswell and J. David Creswell, </w:t>
      </w:r>
      <w:r>
        <w:rPr>
          <w:rFonts w:eastAsia="Times New Roman"/>
          <w:i/>
          <w:color w:val="000000"/>
          <w:sz w:val="20"/>
        </w:rPr>
        <w:t>Mixed Methods Procedures</w:t>
      </w:r>
      <w:r>
        <w:rPr>
          <w:rFonts w:eastAsia="Times New Roman"/>
          <w:color w:val="000000"/>
          <w:sz w:val="20"/>
        </w:rPr>
        <w:t xml:space="preserve">, </w:t>
      </w:r>
      <w:r>
        <w:rPr>
          <w:rFonts w:eastAsia="Times New Roman"/>
          <w:i/>
          <w:color w:val="000000"/>
          <w:sz w:val="20"/>
        </w:rPr>
        <w:t>Research Defign: Qualitative, Quantitative, and Mixed M Ethods Approaches</w:t>
      </w:r>
      <w:r>
        <w:rPr>
          <w:rFonts w:eastAsia="Times New Roman"/>
          <w:color w:val="000000"/>
          <w:sz w:val="20"/>
        </w:rPr>
        <w:t>, 2018.</w:t>
      </w:r>
    </w:p>
  </w:footnote>
  <w:footnote w:id="15">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 Muhammad Bobbi et al., “Analisis Media PembelajaranPengenalanHuruf Dan Angka Pada Tingkat Sekolah Dasar Menggunakan Adobe Flash Professional CS6,” </w:t>
      </w:r>
      <w:r>
        <w:rPr>
          <w:rFonts w:eastAsia="Times New Roman"/>
          <w:i/>
          <w:color w:val="000000"/>
          <w:sz w:val="20"/>
        </w:rPr>
        <w:t>ALACRITY : Journal Of Education</w:t>
      </w:r>
      <w:r>
        <w:rPr>
          <w:rFonts w:eastAsia="Times New Roman"/>
          <w:color w:val="000000"/>
          <w:sz w:val="20"/>
        </w:rPr>
        <w:t xml:space="preserve"> 4, no. 2 (2024): 267–75.</w:t>
      </w:r>
    </w:p>
  </w:footnote>
  <w:footnote w:id="16">
    <w:p w:rsidR="00EB5F8D" w:rsidRDefault="00EB5F8D" w:rsidP="00D743AB">
      <w:pPr>
        <w:pBdr>
          <w:top w:val="nil"/>
          <w:left w:val="nil"/>
          <w:bottom w:val="nil"/>
          <w:right w:val="nil"/>
          <w:between w:val="nil"/>
        </w:pBdr>
        <w:spacing w:line="240" w:lineRule="auto"/>
        <w:jc w:val="both"/>
        <w:rPr>
          <w:rFonts w:eastAsia="Times New Roman"/>
          <w:color w:val="000000"/>
          <w:sz w:val="20"/>
        </w:rPr>
      </w:pPr>
      <w:r>
        <w:rPr>
          <w:rStyle w:val="FootnoteReference"/>
        </w:rPr>
        <w:footnoteRef/>
      </w:r>
      <w:r>
        <w:rPr>
          <w:rFonts w:eastAsia="Times New Roman"/>
          <w:color w:val="000000"/>
          <w:sz w:val="20"/>
        </w:rPr>
        <w:t xml:space="preserve"> Tri Wulandari and Adam Mudinillah, “EfektivitasPenggunaanAplikasi CANVA Sebagai Media Pembelajaran IPA MI/SD,” </w:t>
      </w:r>
      <w:r>
        <w:rPr>
          <w:rFonts w:eastAsia="Times New Roman"/>
          <w:i/>
          <w:color w:val="000000"/>
          <w:sz w:val="20"/>
        </w:rPr>
        <w:t>JurnalRiset Madrasah Ibtidaiyah (JURMIA)</w:t>
      </w:r>
      <w:r>
        <w:rPr>
          <w:rFonts w:eastAsia="Times New Roman"/>
          <w:color w:val="000000"/>
          <w:sz w:val="20"/>
        </w:rPr>
        <w:t xml:space="preserve"> 2, no. 1 (2022): 102–18, https://doi.org/10.32665/jurmia.v2i1.245.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548EE"/>
    <w:multiLevelType w:val="hybridMultilevel"/>
    <w:tmpl w:val="15360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C1DCC"/>
    <w:rsid w:val="000866CB"/>
    <w:rsid w:val="000A0182"/>
    <w:rsid w:val="001B4C24"/>
    <w:rsid w:val="002C4203"/>
    <w:rsid w:val="003544EA"/>
    <w:rsid w:val="003943A6"/>
    <w:rsid w:val="003F4EBB"/>
    <w:rsid w:val="0041617B"/>
    <w:rsid w:val="0041725F"/>
    <w:rsid w:val="00544AA7"/>
    <w:rsid w:val="005660B3"/>
    <w:rsid w:val="006D073A"/>
    <w:rsid w:val="007501D9"/>
    <w:rsid w:val="007C7E6B"/>
    <w:rsid w:val="009143B0"/>
    <w:rsid w:val="00984579"/>
    <w:rsid w:val="00A427FB"/>
    <w:rsid w:val="00B026E4"/>
    <w:rsid w:val="00BC7C30"/>
    <w:rsid w:val="00C5182A"/>
    <w:rsid w:val="00D46E46"/>
    <w:rsid w:val="00D743AB"/>
    <w:rsid w:val="00DC1DCC"/>
    <w:rsid w:val="00DD4991"/>
    <w:rsid w:val="00EB5F8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1D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C1DCC"/>
    <w:pPr>
      <w:ind w:left="720"/>
      <w:contextualSpacing/>
    </w:pPr>
  </w:style>
  <w:style w:type="character" w:styleId="FootnoteReference">
    <w:name w:val="footnote reference"/>
    <w:uiPriority w:val="99"/>
    <w:semiHidden/>
    <w:unhideWhenUsed/>
    <w:rsid w:val="00D743AB"/>
    <w:rPr>
      <w:vertAlign w:val="superscript"/>
    </w:rPr>
  </w:style>
  <w:style w:type="paragraph" w:styleId="BalloonText">
    <w:name w:val="Balloon Text"/>
    <w:basedOn w:val="Normal"/>
    <w:link w:val="BalloonTextChar"/>
    <w:uiPriority w:val="99"/>
    <w:semiHidden/>
    <w:unhideWhenUsed/>
    <w:rsid w:val="00D74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D"/>
              <a:t>Perbandingan Nilai Kelas Eksperimen dan Kelas Kontrol </a:t>
            </a:r>
          </a:p>
        </c:rich>
      </c:tx>
      <c:spPr>
        <a:noFill/>
        <a:ln>
          <a:noFill/>
        </a:ln>
        <a:effectLst/>
      </c:spPr>
    </c:title>
    <c:plotArea>
      <c:layout/>
      <c:barChart>
        <c:barDir val="col"/>
        <c:grouping val="clustered"/>
        <c:ser>
          <c:idx val="0"/>
          <c:order val="0"/>
          <c:tx>
            <c:strRef>
              <c:f>Sheet1!$B$1</c:f>
              <c:strCache>
                <c:ptCount val="1"/>
                <c:pt idx="0">
                  <c:v>Pretest</c:v>
                </c:pt>
              </c:strCache>
            </c:strRef>
          </c:tx>
          <c:spPr>
            <a:solidFill>
              <a:schemeClr val="accent1"/>
            </a:solidFill>
            <a:ln>
              <a:noFill/>
            </a:ln>
            <a:effectLst/>
          </c:spPr>
          <c:cat>
            <c:strRef>
              <c:f>Sheet1!$A$2:$A$3</c:f>
              <c:strCache>
                <c:ptCount val="2"/>
                <c:pt idx="0">
                  <c:v>Kelas Eksperimen</c:v>
                </c:pt>
                <c:pt idx="1">
                  <c:v>Kelas Kontrol</c:v>
                </c:pt>
              </c:strCache>
            </c:strRef>
          </c:cat>
          <c:val>
            <c:numRef>
              <c:f>Sheet1!$B$2:$B$3</c:f>
              <c:numCache>
                <c:formatCode>General</c:formatCode>
                <c:ptCount val="2"/>
                <c:pt idx="0">
                  <c:v>70</c:v>
                </c:pt>
                <c:pt idx="1">
                  <c:v>70</c:v>
                </c:pt>
              </c:numCache>
            </c:numRef>
          </c:val>
          <c:extLst xmlns:c16r2="http://schemas.microsoft.com/office/drawing/2015/06/chart">
            <c:ext xmlns:c16="http://schemas.microsoft.com/office/drawing/2014/chart" uri="{C3380CC4-5D6E-409C-BE32-E72D297353CC}">
              <c16:uniqueId val="{00000000-0253-4199-BCFF-539A1E799AC7}"/>
            </c:ext>
          </c:extLst>
        </c:ser>
        <c:ser>
          <c:idx val="1"/>
          <c:order val="1"/>
          <c:tx>
            <c:strRef>
              <c:f>Sheet1!$C$1</c:f>
              <c:strCache>
                <c:ptCount val="1"/>
                <c:pt idx="0">
                  <c:v>Posttest</c:v>
                </c:pt>
              </c:strCache>
            </c:strRef>
          </c:tx>
          <c:spPr>
            <a:solidFill>
              <a:schemeClr val="accent2"/>
            </a:solidFill>
            <a:ln>
              <a:noFill/>
            </a:ln>
            <a:effectLst/>
          </c:spPr>
          <c:cat>
            <c:strRef>
              <c:f>Sheet1!$A$2:$A$3</c:f>
              <c:strCache>
                <c:ptCount val="2"/>
                <c:pt idx="0">
                  <c:v>Kelas Eksperimen</c:v>
                </c:pt>
                <c:pt idx="1">
                  <c:v>Kelas Kontrol</c:v>
                </c:pt>
              </c:strCache>
            </c:strRef>
          </c:cat>
          <c:val>
            <c:numRef>
              <c:f>Sheet1!$C$2:$C$3</c:f>
              <c:numCache>
                <c:formatCode>General</c:formatCode>
                <c:ptCount val="2"/>
                <c:pt idx="0">
                  <c:v>100</c:v>
                </c:pt>
                <c:pt idx="1">
                  <c:v>80</c:v>
                </c:pt>
              </c:numCache>
            </c:numRef>
          </c:val>
          <c:extLst xmlns:c16r2="http://schemas.microsoft.com/office/drawing/2015/06/chart">
            <c:ext xmlns:c16="http://schemas.microsoft.com/office/drawing/2014/chart" uri="{C3380CC4-5D6E-409C-BE32-E72D297353CC}">
              <c16:uniqueId val="{00000001-0253-4199-BCFF-539A1E799AC7}"/>
            </c:ext>
          </c:extLst>
        </c:ser>
        <c:gapWidth val="219"/>
        <c:overlap val="-27"/>
        <c:axId val="71592192"/>
        <c:axId val="71600000"/>
      </c:barChart>
      <c:catAx>
        <c:axId val="71592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71600000"/>
        <c:crosses val="autoZero"/>
        <c:auto val="1"/>
        <c:lblAlgn val="ctr"/>
        <c:lblOffset val="100"/>
      </c:catAx>
      <c:valAx>
        <c:axId val="71600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715921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16</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6</cp:revision>
  <dcterms:created xsi:type="dcterms:W3CDTF">2024-10-30T02:08:00Z</dcterms:created>
  <dcterms:modified xsi:type="dcterms:W3CDTF">2024-10-31T03:05:00Z</dcterms:modified>
</cp:coreProperties>
</file>